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587690" w14:textId="77777777" w:rsidR="00AB28B0" w:rsidRDefault="0072688B">
      <w:pPr>
        <w:tabs>
          <w:tab w:val="left" w:pos="1985"/>
        </w:tabs>
        <w:spacing w:after="0"/>
        <w:rPr>
          <w:rFonts w:ascii="Arial" w:eastAsia="Arial" w:hAnsi="Arial" w:cs="Arial"/>
          <w:b/>
          <w:sz w:val="24"/>
          <w:szCs w:val="24"/>
        </w:rPr>
      </w:pPr>
      <w:bookmarkStart w:id="0" w:name="_heading=h.gjdgxs" w:colFirst="0" w:colLast="0"/>
      <w:bookmarkEnd w:id="0"/>
      <w:r>
        <w:rPr>
          <w:rFonts w:ascii="Arial" w:eastAsia="Arial" w:hAnsi="Arial" w:cs="Arial"/>
          <w:b/>
          <w:sz w:val="24"/>
          <w:szCs w:val="24"/>
        </w:rPr>
        <w:t>3GPP TSG RAN WG2 meeting #113b</w:t>
      </w:r>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t>R2-2102961</w:t>
      </w:r>
    </w:p>
    <w:p w14:paraId="4AC94C87" w14:textId="77777777" w:rsidR="00AB28B0" w:rsidRDefault="0072688B">
      <w:pPr>
        <w:tabs>
          <w:tab w:val="left" w:pos="1985"/>
        </w:tabs>
        <w:spacing w:after="0"/>
        <w:rPr>
          <w:rFonts w:ascii="Arial" w:eastAsia="Arial" w:hAnsi="Arial" w:cs="Arial"/>
          <w:b/>
          <w:sz w:val="24"/>
          <w:szCs w:val="24"/>
        </w:rPr>
      </w:pPr>
      <w:bookmarkStart w:id="1" w:name="_heading=h.30j0zll" w:colFirst="0" w:colLast="0"/>
      <w:bookmarkEnd w:id="1"/>
      <w:r>
        <w:rPr>
          <w:rFonts w:ascii="Arial" w:eastAsia="Arial" w:hAnsi="Arial" w:cs="Arial"/>
          <w:b/>
          <w:sz w:val="24"/>
          <w:szCs w:val="24"/>
        </w:rPr>
        <w:t>Electronic Meeting, April 12th - 20th, 2021</w:t>
      </w:r>
    </w:p>
    <w:p w14:paraId="2789A532" w14:textId="77777777" w:rsidR="00AB28B0" w:rsidRDefault="0072688B">
      <w:pPr>
        <w:tabs>
          <w:tab w:val="left" w:pos="1985"/>
        </w:tabs>
        <w:spacing w:after="0"/>
        <w:rPr>
          <w:rFonts w:ascii="Arial" w:eastAsia="Arial" w:hAnsi="Arial" w:cs="Arial"/>
          <w:b/>
          <w:sz w:val="24"/>
          <w:szCs w:val="24"/>
        </w:rPr>
      </w:pPr>
      <w:bookmarkStart w:id="2" w:name="_heading=h.1fob9te" w:colFirst="0" w:colLast="0"/>
      <w:bookmarkEnd w:id="2"/>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t xml:space="preserve">                        </w:t>
      </w:r>
      <w:r>
        <w:rPr>
          <w:rFonts w:ascii="Arial" w:eastAsia="Arial" w:hAnsi="Arial" w:cs="Arial"/>
          <w:b/>
          <w:sz w:val="24"/>
          <w:szCs w:val="24"/>
        </w:rPr>
        <w:tab/>
      </w:r>
      <w:r>
        <w:rPr>
          <w:rFonts w:ascii="Arial" w:eastAsia="Arial" w:hAnsi="Arial" w:cs="Arial"/>
          <w:b/>
          <w:sz w:val="24"/>
          <w:szCs w:val="24"/>
        </w:rPr>
        <w:tab/>
      </w:r>
    </w:p>
    <w:p w14:paraId="669333F2" w14:textId="77777777" w:rsidR="00AB28B0" w:rsidRDefault="00AB28B0">
      <w:pPr>
        <w:tabs>
          <w:tab w:val="left" w:pos="1985"/>
        </w:tabs>
        <w:spacing w:after="0"/>
        <w:rPr>
          <w:rFonts w:ascii="Arial" w:eastAsia="Arial" w:hAnsi="Arial" w:cs="Arial"/>
          <w:b/>
          <w:sz w:val="24"/>
          <w:szCs w:val="24"/>
        </w:rPr>
      </w:pPr>
    </w:p>
    <w:p w14:paraId="383CC160" w14:textId="77777777" w:rsidR="00AB28B0" w:rsidRDefault="0072688B">
      <w:pPr>
        <w:tabs>
          <w:tab w:val="left" w:pos="1985"/>
        </w:tabs>
        <w:spacing w:after="0"/>
        <w:rPr>
          <w:rFonts w:ascii="Arial" w:eastAsia="Arial" w:hAnsi="Arial" w:cs="Arial"/>
          <w:sz w:val="24"/>
          <w:szCs w:val="24"/>
        </w:rPr>
      </w:pPr>
      <w:r>
        <w:rPr>
          <w:rFonts w:ascii="Arial" w:eastAsia="Arial" w:hAnsi="Arial" w:cs="Arial"/>
          <w:b/>
          <w:sz w:val="24"/>
          <w:szCs w:val="24"/>
        </w:rPr>
        <w:t>Agenda Item:</w:t>
      </w:r>
      <w:r>
        <w:rPr>
          <w:rFonts w:ascii="Arial" w:eastAsia="Arial" w:hAnsi="Arial" w:cs="Arial"/>
          <w:sz w:val="24"/>
          <w:szCs w:val="24"/>
        </w:rPr>
        <w:tab/>
        <w:t>9.2.1</w:t>
      </w:r>
    </w:p>
    <w:p w14:paraId="0DD36063" w14:textId="77777777" w:rsidR="00AB28B0" w:rsidRDefault="0072688B">
      <w:pPr>
        <w:tabs>
          <w:tab w:val="left" w:pos="1985"/>
        </w:tabs>
        <w:spacing w:after="0"/>
        <w:rPr>
          <w:rFonts w:ascii="Arial" w:eastAsia="Arial" w:hAnsi="Arial" w:cs="Arial"/>
          <w:sz w:val="24"/>
          <w:szCs w:val="24"/>
          <w:highlight w:val="yellow"/>
        </w:rPr>
      </w:pPr>
      <w:r>
        <w:rPr>
          <w:rFonts w:ascii="Arial" w:eastAsia="Arial" w:hAnsi="Arial" w:cs="Arial"/>
          <w:b/>
          <w:sz w:val="24"/>
          <w:szCs w:val="24"/>
        </w:rPr>
        <w:t xml:space="preserve">Source: </w:t>
      </w:r>
      <w:r>
        <w:rPr>
          <w:rFonts w:ascii="Arial" w:eastAsia="Arial" w:hAnsi="Arial" w:cs="Arial"/>
          <w:b/>
          <w:sz w:val="24"/>
          <w:szCs w:val="24"/>
        </w:rPr>
        <w:tab/>
      </w:r>
      <w:proofErr w:type="spellStart"/>
      <w:r>
        <w:rPr>
          <w:rFonts w:ascii="Arial" w:eastAsia="Arial" w:hAnsi="Arial" w:cs="Arial"/>
          <w:sz w:val="24"/>
          <w:szCs w:val="24"/>
        </w:rPr>
        <w:t>GateHouse</w:t>
      </w:r>
      <w:proofErr w:type="spellEnd"/>
      <w:r>
        <w:rPr>
          <w:rFonts w:ascii="Arial" w:eastAsia="Arial" w:hAnsi="Arial" w:cs="Arial"/>
          <w:sz w:val="24"/>
          <w:szCs w:val="24"/>
        </w:rPr>
        <w:t xml:space="preserve"> Satcom, </w:t>
      </w:r>
      <w:proofErr w:type="spellStart"/>
      <w:r>
        <w:rPr>
          <w:rFonts w:ascii="Arial" w:eastAsia="Arial" w:hAnsi="Arial" w:cs="Arial"/>
          <w:sz w:val="24"/>
          <w:szCs w:val="24"/>
        </w:rPr>
        <w:t>Sateliot</w:t>
      </w:r>
      <w:proofErr w:type="spellEnd"/>
    </w:p>
    <w:p w14:paraId="012567A5" w14:textId="77777777" w:rsidR="00AB28B0" w:rsidRDefault="0072688B">
      <w:pPr>
        <w:tabs>
          <w:tab w:val="left" w:pos="1985"/>
        </w:tabs>
        <w:spacing w:after="0"/>
        <w:rPr>
          <w:rFonts w:ascii="Arial" w:eastAsia="Arial" w:hAnsi="Arial" w:cs="Arial"/>
          <w:sz w:val="24"/>
          <w:szCs w:val="24"/>
        </w:rPr>
      </w:pPr>
      <w:r>
        <w:rPr>
          <w:rFonts w:ascii="Arial" w:eastAsia="Arial" w:hAnsi="Arial" w:cs="Arial"/>
          <w:b/>
          <w:sz w:val="24"/>
          <w:szCs w:val="24"/>
        </w:rPr>
        <w:t>Title:</w:t>
      </w:r>
      <w:r>
        <w:rPr>
          <w:rFonts w:ascii="Arial" w:eastAsia="Arial" w:hAnsi="Arial" w:cs="Arial"/>
          <w:sz w:val="24"/>
          <w:szCs w:val="24"/>
        </w:rPr>
        <w:t xml:space="preserve"> </w:t>
      </w:r>
      <w:r>
        <w:rPr>
          <w:rFonts w:ascii="Arial" w:eastAsia="Arial" w:hAnsi="Arial" w:cs="Arial"/>
          <w:sz w:val="24"/>
          <w:szCs w:val="24"/>
        </w:rPr>
        <w:tab/>
      </w:r>
      <w:r>
        <w:rPr>
          <w:rFonts w:ascii="Arial" w:eastAsia="Arial" w:hAnsi="Arial" w:cs="Arial"/>
          <w:sz w:val="24"/>
          <w:szCs w:val="24"/>
        </w:rPr>
        <w:t>Essential adaptations for discontinuous coverage in IoT-NTN</w:t>
      </w:r>
    </w:p>
    <w:p w14:paraId="1305E8D4" w14:textId="77777777" w:rsidR="00AB28B0" w:rsidRDefault="0072688B">
      <w:pPr>
        <w:pBdr>
          <w:bottom w:val="single" w:sz="12" w:space="1" w:color="000000"/>
        </w:pBdr>
        <w:tabs>
          <w:tab w:val="left" w:pos="1985"/>
        </w:tabs>
        <w:spacing w:after="480"/>
        <w:rPr>
          <w:rFonts w:ascii="Arial" w:eastAsia="Arial" w:hAnsi="Arial" w:cs="Arial"/>
          <w:sz w:val="24"/>
          <w:szCs w:val="24"/>
        </w:rPr>
      </w:pPr>
      <w:r>
        <w:rPr>
          <w:rFonts w:ascii="Arial" w:eastAsia="Arial" w:hAnsi="Arial" w:cs="Arial"/>
          <w:b/>
          <w:sz w:val="24"/>
          <w:szCs w:val="24"/>
        </w:rPr>
        <w:t>Document for:</w:t>
      </w:r>
      <w:r>
        <w:rPr>
          <w:rFonts w:ascii="Arial" w:eastAsia="Arial" w:hAnsi="Arial" w:cs="Arial"/>
          <w:sz w:val="24"/>
          <w:szCs w:val="24"/>
        </w:rPr>
        <w:tab/>
        <w:t>Discussion for decision</w:t>
      </w:r>
    </w:p>
    <w:p w14:paraId="64C1D638" w14:textId="77777777" w:rsidR="00AB28B0" w:rsidRDefault="0072688B">
      <w:pPr>
        <w:pStyle w:val="Heading1"/>
      </w:pPr>
      <w:r>
        <w:t>1. Introduction</w:t>
      </w:r>
    </w:p>
    <w:p w14:paraId="7B441970" w14:textId="77777777" w:rsidR="00AB28B0" w:rsidRDefault="0072688B">
      <w:r>
        <w:t>In the RAN2#113 meeting, contribution [1] (“</w:t>
      </w:r>
      <w:r>
        <w:rPr>
          <w:i/>
        </w:rPr>
        <w:t>Summary for Control Plane Procedures in IoT-NTN</w:t>
      </w:r>
      <w:r>
        <w:t>”) summarized the agreed Control Plane Procedure pr</w:t>
      </w:r>
      <w:r>
        <w:t xml:space="preserve">oposals for IoT-NTN as part of the IoT NTN SI work [2]. Summary proposals 2-7 were agreed. This document </w:t>
      </w:r>
      <w:proofErr w:type="gramStart"/>
      <w:r>
        <w:t>continues on</w:t>
      </w:r>
      <w:proofErr w:type="gramEnd"/>
      <w:r>
        <w:t xml:space="preserve"> proposal 5-7 as listed below.</w:t>
      </w:r>
    </w:p>
    <w:p w14:paraId="7E90E634" w14:textId="77777777" w:rsidR="00AB28B0" w:rsidRDefault="00AB28B0"/>
    <w:tbl>
      <w:tblPr>
        <w:tblStyle w:val="a5"/>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8"/>
      </w:tblGrid>
      <w:tr w:rsidR="00AB28B0" w14:paraId="31601D1D" w14:textId="77777777">
        <w:tc>
          <w:tcPr>
            <w:tcW w:w="9638" w:type="dxa"/>
            <w:shd w:val="clear" w:color="auto" w:fill="auto"/>
            <w:tcMar>
              <w:top w:w="100" w:type="dxa"/>
              <w:left w:w="100" w:type="dxa"/>
              <w:bottom w:w="100" w:type="dxa"/>
              <w:right w:w="100" w:type="dxa"/>
            </w:tcMar>
          </w:tcPr>
          <w:p w14:paraId="17DC574C" w14:textId="77777777" w:rsidR="00AB28B0" w:rsidRDefault="00AB28B0">
            <w:pPr>
              <w:widowControl w:val="0"/>
              <w:pBdr>
                <w:top w:val="nil"/>
                <w:left w:val="nil"/>
                <w:bottom w:val="nil"/>
                <w:right w:val="nil"/>
                <w:between w:val="nil"/>
              </w:pBdr>
              <w:spacing w:before="0" w:after="0"/>
              <w:ind w:left="1440"/>
              <w:jc w:val="left"/>
              <w:rPr>
                <w:b/>
              </w:rPr>
            </w:pPr>
          </w:p>
          <w:p w14:paraId="7B0DC291" w14:textId="77777777" w:rsidR="00AB28B0" w:rsidRDefault="0072688B">
            <w:pPr>
              <w:widowControl w:val="0"/>
              <w:pBdr>
                <w:top w:val="nil"/>
                <w:left w:val="nil"/>
                <w:bottom w:val="nil"/>
                <w:right w:val="nil"/>
                <w:between w:val="nil"/>
              </w:pBdr>
              <w:spacing w:before="0" w:after="0"/>
              <w:ind w:left="1440"/>
              <w:jc w:val="left"/>
              <w:rPr>
                <w:b/>
              </w:rPr>
            </w:pPr>
            <w:r>
              <w:rPr>
                <w:b/>
              </w:rPr>
              <w:t>Proposal 5: RAN2 will use cell selection/re-selection mechanism of NB-IoT/</w:t>
            </w:r>
            <w:proofErr w:type="spellStart"/>
            <w:r>
              <w:rPr>
                <w:b/>
              </w:rPr>
              <w:t>eMTC</w:t>
            </w:r>
            <w:proofErr w:type="spellEnd"/>
            <w:r>
              <w:rPr>
                <w:b/>
              </w:rPr>
              <w:t xml:space="preserve"> as a baseline. Enhancements</w:t>
            </w:r>
            <w:r>
              <w:rPr>
                <w:b/>
              </w:rPr>
              <w:t xml:space="preserve"> introduced for cell selection/re-selection mechanism in NR NTN will be considered if applicable to IoT-NTN.</w:t>
            </w:r>
          </w:p>
          <w:p w14:paraId="59EE2B36" w14:textId="77777777" w:rsidR="00AB28B0" w:rsidRDefault="00AB28B0">
            <w:pPr>
              <w:widowControl w:val="0"/>
              <w:pBdr>
                <w:top w:val="nil"/>
                <w:left w:val="nil"/>
                <w:bottom w:val="nil"/>
                <w:right w:val="nil"/>
                <w:between w:val="nil"/>
              </w:pBdr>
              <w:spacing w:before="0" w:after="0"/>
              <w:ind w:left="1440"/>
              <w:jc w:val="left"/>
              <w:rPr>
                <w:b/>
              </w:rPr>
            </w:pPr>
          </w:p>
          <w:p w14:paraId="20FC9E3F" w14:textId="2E4589FC" w:rsidR="00AB28B0" w:rsidRDefault="0072688B">
            <w:pPr>
              <w:widowControl w:val="0"/>
              <w:pBdr>
                <w:top w:val="nil"/>
                <w:left w:val="nil"/>
                <w:bottom w:val="nil"/>
                <w:right w:val="nil"/>
                <w:between w:val="nil"/>
              </w:pBdr>
              <w:spacing w:before="0" w:after="0"/>
              <w:ind w:left="1440"/>
              <w:jc w:val="left"/>
              <w:rPr>
                <w:b/>
              </w:rPr>
            </w:pPr>
            <w:r>
              <w:rPr>
                <w:b/>
              </w:rPr>
              <w:t>Proposal 6: Cell selection/re-selection mechanism in IoT-NTN can be enhanced by using satellite assistance (</w:t>
            </w:r>
            <w:r w:rsidR="0025618A">
              <w:rPr>
                <w:b/>
              </w:rPr>
              <w:t>e.g.,</w:t>
            </w:r>
            <w:r>
              <w:rPr>
                <w:b/>
              </w:rPr>
              <w:t xml:space="preserve"> ephemeris) information (</w:t>
            </w:r>
            <w:proofErr w:type="gramStart"/>
            <w:r>
              <w:rPr>
                <w:b/>
              </w:rPr>
              <w:t>similar t</w:t>
            </w:r>
            <w:r>
              <w:rPr>
                <w:b/>
              </w:rPr>
              <w:t>o</w:t>
            </w:r>
            <w:proofErr w:type="gramEnd"/>
            <w:r>
              <w:rPr>
                <w:b/>
              </w:rPr>
              <w:t xml:space="preserve"> NR-NTN). RAN2 will wait for RAN1’s progress about the details of satellite ephemeris information.</w:t>
            </w:r>
          </w:p>
          <w:p w14:paraId="164F9262" w14:textId="77777777" w:rsidR="00AB28B0" w:rsidRDefault="00AB28B0">
            <w:pPr>
              <w:widowControl w:val="0"/>
              <w:pBdr>
                <w:top w:val="nil"/>
                <w:left w:val="nil"/>
                <w:bottom w:val="nil"/>
                <w:right w:val="nil"/>
                <w:between w:val="nil"/>
              </w:pBdr>
              <w:spacing w:before="0" w:after="0"/>
              <w:ind w:left="1440"/>
              <w:jc w:val="left"/>
            </w:pPr>
          </w:p>
          <w:p w14:paraId="05AF759F" w14:textId="77777777" w:rsidR="00AB28B0" w:rsidRDefault="0072688B">
            <w:pPr>
              <w:widowControl w:val="0"/>
              <w:pBdr>
                <w:top w:val="nil"/>
                <w:left w:val="nil"/>
                <w:bottom w:val="nil"/>
                <w:right w:val="nil"/>
                <w:between w:val="nil"/>
              </w:pBdr>
              <w:spacing w:before="0" w:after="0"/>
              <w:ind w:left="1440"/>
              <w:jc w:val="left"/>
              <w:rPr>
                <w:strike/>
                <w:highlight w:val="yellow"/>
              </w:rPr>
            </w:pPr>
            <w:r>
              <w:rPr>
                <w:b/>
              </w:rPr>
              <w:t>Proposal 7: RAN2 will continue discussion on the effect of discontinuous coverage of IoT-NTN over cell re-selection.</w:t>
            </w:r>
          </w:p>
          <w:p w14:paraId="37401B32" w14:textId="77777777" w:rsidR="00AB28B0" w:rsidRDefault="00AB28B0">
            <w:pPr>
              <w:widowControl w:val="0"/>
              <w:pBdr>
                <w:top w:val="nil"/>
                <w:left w:val="nil"/>
                <w:bottom w:val="nil"/>
                <w:right w:val="nil"/>
                <w:between w:val="nil"/>
              </w:pBdr>
              <w:spacing w:before="0" w:after="0"/>
              <w:ind w:left="720"/>
              <w:jc w:val="left"/>
            </w:pPr>
          </w:p>
        </w:tc>
      </w:tr>
    </w:tbl>
    <w:p w14:paraId="4F49B41B" w14:textId="77777777" w:rsidR="00AB28B0" w:rsidRDefault="00AB28B0"/>
    <w:p w14:paraId="598F5017" w14:textId="7AED4786" w:rsidR="00AB28B0" w:rsidRDefault="0072688B">
      <w:r>
        <w:t xml:space="preserve">The main motivation for this contribution is to describe solution elements related to the proposals, </w:t>
      </w:r>
      <w:proofErr w:type="gramStart"/>
      <w:r>
        <w:t>taking into account</w:t>
      </w:r>
      <w:proofErr w:type="gramEnd"/>
      <w:r>
        <w:t xml:space="preserve"> the effect of discontinuous coverage. This is a continuation of work in contribution [3] (“Discussion on the service link discontinuity</w:t>
      </w:r>
      <w:r>
        <w:t xml:space="preserve"> and affected procedures for NB-IoT NTN”) and are applicable to any </w:t>
      </w:r>
      <w:r w:rsidR="0025618A">
        <w:t>low-density</w:t>
      </w:r>
      <w:r>
        <w:t xml:space="preserve"> LEO constellations under which IoT devices will not always have a reachable satellite to detect/communicate with.</w:t>
      </w:r>
    </w:p>
    <w:p w14:paraId="221C5307" w14:textId="77777777" w:rsidR="00EA58C7" w:rsidRDefault="00EA58C7"/>
    <w:p w14:paraId="2D3680CF" w14:textId="18EEF43C" w:rsidR="00AB28B0" w:rsidRDefault="0072688B">
      <w:r>
        <w:t>The previous proposals, as formulated in contribution [3] (“</w:t>
      </w:r>
      <w:r>
        <w:rPr>
          <w:i/>
        </w:rPr>
        <w:t>D</w:t>
      </w:r>
      <w:r>
        <w:rPr>
          <w:i/>
        </w:rPr>
        <w:t>iscussion on the service link discontinuity and affected procedures for NB-IoT NTN</w:t>
      </w:r>
      <w:r>
        <w:t>”):</w:t>
      </w:r>
    </w:p>
    <w:tbl>
      <w:tblPr>
        <w:tblStyle w:val="a6"/>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8"/>
      </w:tblGrid>
      <w:tr w:rsidR="00AB28B0" w14:paraId="0B375871" w14:textId="77777777">
        <w:tc>
          <w:tcPr>
            <w:tcW w:w="9638" w:type="dxa"/>
            <w:shd w:val="clear" w:color="auto" w:fill="auto"/>
            <w:tcMar>
              <w:top w:w="100" w:type="dxa"/>
              <w:left w:w="100" w:type="dxa"/>
              <w:bottom w:w="100" w:type="dxa"/>
              <w:right w:w="100" w:type="dxa"/>
            </w:tcMar>
          </w:tcPr>
          <w:p w14:paraId="1EF84D48" w14:textId="77777777" w:rsidR="00AB28B0" w:rsidRDefault="0072688B" w:rsidP="00EA58C7">
            <w:pPr>
              <w:spacing w:after="0"/>
              <w:ind w:left="720"/>
              <w:jc w:val="left"/>
            </w:pPr>
            <w:r>
              <w:rPr>
                <w:b/>
              </w:rPr>
              <w:t>Cell-Selection</w:t>
            </w:r>
            <w:r>
              <w:rPr>
                <w:b/>
              </w:rPr>
              <w:br/>
            </w:r>
            <w:r>
              <w:t>P</w:t>
            </w:r>
            <w:r>
              <w:rPr>
                <w:i/>
              </w:rPr>
              <w:t>roposal #1: RAN2 to evaluate how system information (including ephemeris data in a new type of SIB) can support a system with discontinuous service link.</w:t>
            </w:r>
            <w:r>
              <w:rPr>
                <w:i/>
              </w:rPr>
              <w:br/>
            </w:r>
          </w:p>
          <w:p w14:paraId="36B992F5" w14:textId="77777777" w:rsidR="00AB28B0" w:rsidRDefault="0072688B" w:rsidP="00EA58C7">
            <w:pPr>
              <w:ind w:left="720"/>
              <w:jc w:val="left"/>
            </w:pPr>
            <w:r>
              <w:rPr>
                <w:b/>
              </w:rPr>
              <w:t>Cell-reselection</w:t>
            </w:r>
            <w:r>
              <w:br/>
            </w:r>
            <w:r>
              <w:rPr>
                <w:i/>
              </w:rPr>
              <w:t>Proposal #2: RAN2 to evaluate the applicability of cell-reselection in context of a system with discontinuous service link.</w:t>
            </w:r>
          </w:p>
          <w:p w14:paraId="74ABD9C6" w14:textId="77777777" w:rsidR="00EA58C7" w:rsidRDefault="00EA58C7" w:rsidP="00EA58C7">
            <w:pPr>
              <w:ind w:left="720"/>
              <w:rPr>
                <w:b/>
              </w:rPr>
            </w:pPr>
          </w:p>
          <w:p w14:paraId="084785A4" w14:textId="24F25D46" w:rsidR="00AB28B0" w:rsidRDefault="0072688B" w:rsidP="00EA58C7">
            <w:pPr>
              <w:ind w:left="720"/>
              <w:jc w:val="left"/>
            </w:pPr>
            <w:r>
              <w:rPr>
                <w:b/>
              </w:rPr>
              <w:lastRenderedPageBreak/>
              <w:t>Extended Discontinuous Reception (</w:t>
            </w:r>
            <w:proofErr w:type="spellStart"/>
            <w:r>
              <w:rPr>
                <w:b/>
              </w:rPr>
              <w:t>eDRX</w:t>
            </w:r>
            <w:proofErr w:type="spellEnd"/>
            <w:r>
              <w:rPr>
                <w:b/>
              </w:rPr>
              <w:t>) and paging</w:t>
            </w:r>
            <w:r w:rsidR="00EA58C7">
              <w:rPr>
                <w:b/>
              </w:rPr>
              <w:br/>
            </w:r>
            <w:r>
              <w:rPr>
                <w:i/>
              </w:rPr>
              <w:t xml:space="preserve">Proposal #3: RAN2 to evaluate </w:t>
            </w:r>
            <w:proofErr w:type="spellStart"/>
            <w:r>
              <w:rPr>
                <w:i/>
              </w:rPr>
              <w:t>eDRX</w:t>
            </w:r>
            <w:proofErr w:type="spellEnd"/>
            <w:r>
              <w:rPr>
                <w:i/>
              </w:rPr>
              <w:t xml:space="preserve"> and paging concept in contex</w:t>
            </w:r>
            <w:r>
              <w:rPr>
                <w:i/>
              </w:rPr>
              <w:t>t of a system with discontinuous service link.</w:t>
            </w:r>
          </w:p>
          <w:p w14:paraId="3ADEA6BE" w14:textId="77777777" w:rsidR="00AB28B0" w:rsidRDefault="0072688B" w:rsidP="00EA58C7">
            <w:pPr>
              <w:ind w:left="720"/>
              <w:jc w:val="left"/>
            </w:pPr>
            <w:r>
              <w:rPr>
                <w:b/>
              </w:rPr>
              <w:t>Power Saving Mode (PSM)</w:t>
            </w:r>
            <w:r>
              <w:br/>
            </w:r>
            <w:r>
              <w:rPr>
                <w:i/>
              </w:rPr>
              <w:t>Proposal #4: RAN2 to evaluate how PSM mode can be adapted to support a system with discontinuous service link.</w:t>
            </w:r>
          </w:p>
          <w:p w14:paraId="0AAF896A" w14:textId="77777777" w:rsidR="00AB28B0" w:rsidRDefault="00AB28B0">
            <w:pPr>
              <w:widowControl w:val="0"/>
              <w:pBdr>
                <w:top w:val="nil"/>
                <w:left w:val="nil"/>
                <w:bottom w:val="nil"/>
                <w:right w:val="nil"/>
                <w:between w:val="nil"/>
              </w:pBdr>
              <w:spacing w:before="0" w:after="0"/>
              <w:jc w:val="left"/>
            </w:pPr>
          </w:p>
        </w:tc>
      </w:tr>
    </w:tbl>
    <w:p w14:paraId="65488B9D" w14:textId="77777777" w:rsidR="00AB28B0" w:rsidRDefault="00AB28B0"/>
    <w:p w14:paraId="2B20F874" w14:textId="77777777" w:rsidR="00AB28B0" w:rsidRDefault="0072688B">
      <w:r>
        <w:t>In the following chapters, elements are discussed and explained that should guide towards possible further analysis and solutions. In particular:</w:t>
      </w:r>
    </w:p>
    <w:p w14:paraId="2AE83BA1" w14:textId="2DB7C217" w:rsidR="00AB28B0" w:rsidRDefault="0072688B" w:rsidP="0025618A">
      <w:pPr>
        <w:spacing w:after="0"/>
        <w:ind w:left="720"/>
        <w:jc w:val="left"/>
        <w:rPr>
          <w:color w:val="000000"/>
        </w:rPr>
      </w:pPr>
      <w:r>
        <w:rPr>
          <w:b/>
        </w:rPr>
        <w:t>Chapter 2:</w:t>
      </w:r>
      <w:r w:rsidR="0025618A">
        <w:rPr>
          <w:b/>
        </w:rPr>
        <w:t xml:space="preserve"> </w:t>
      </w:r>
      <w:r w:rsidR="0025618A">
        <w:rPr>
          <w:b/>
        </w:rPr>
        <w:br/>
      </w:r>
      <w:r>
        <w:t xml:space="preserve">Description of the problem statement for discontinuous coverage. Illustrative numbers for access and coverage gap durations are provided for a </w:t>
      </w:r>
      <w:r w:rsidR="0025618A">
        <w:t>low-density</w:t>
      </w:r>
      <w:r>
        <w:t xml:space="preserve"> LEO constellation. </w:t>
      </w:r>
      <w:r>
        <w:br/>
        <w:t xml:space="preserve"> </w:t>
      </w:r>
    </w:p>
    <w:p w14:paraId="2A445FE3" w14:textId="7D9DB901" w:rsidR="00AB28B0" w:rsidRPr="0025618A" w:rsidRDefault="0072688B" w:rsidP="0025618A">
      <w:pPr>
        <w:spacing w:before="0"/>
        <w:ind w:left="720"/>
        <w:rPr>
          <w:b/>
        </w:rPr>
      </w:pPr>
      <w:r>
        <w:rPr>
          <w:b/>
        </w:rPr>
        <w:t>Chapter</w:t>
      </w:r>
      <w:r w:rsidR="0025618A">
        <w:rPr>
          <w:b/>
        </w:rPr>
        <w:t xml:space="preserve"> </w:t>
      </w:r>
      <w:r>
        <w:rPr>
          <w:b/>
        </w:rPr>
        <w:t>3:</w:t>
      </w:r>
      <w:r w:rsidR="0025618A">
        <w:rPr>
          <w:b/>
        </w:rPr>
        <w:t xml:space="preserve"> </w:t>
      </w:r>
      <w:r w:rsidR="0025618A">
        <w:rPr>
          <w:b/>
        </w:rPr>
        <w:br/>
      </w:r>
      <w:r>
        <w:t>Description of the necessary adaptations for energy-efficient cell-</w:t>
      </w:r>
      <w:r>
        <w:t xml:space="preserve">search and paging under discontinuous coverage. </w:t>
      </w:r>
    </w:p>
    <w:p w14:paraId="1C1F5D7C" w14:textId="77777777" w:rsidR="00AB28B0" w:rsidRDefault="0072688B">
      <w:pPr>
        <w:pStyle w:val="Heading1"/>
      </w:pPr>
      <w:bookmarkStart w:id="3" w:name="_heading=h.b7o2235vbhbz" w:colFirst="0" w:colLast="0"/>
      <w:bookmarkEnd w:id="3"/>
      <w:r>
        <w:t>2. Discontinuous coverage: Problem Statement</w:t>
      </w:r>
    </w:p>
    <w:p w14:paraId="7A52259A" w14:textId="77777777" w:rsidR="00AB28B0" w:rsidRDefault="0072688B">
      <w:r>
        <w:t xml:space="preserve">Coverage gaps will appear during the rollout of NTN NB-IoT constellations. Additionally, coverage gaps occur in low density constellations as well as in deployed </w:t>
      </w:r>
      <w:r>
        <w:t xml:space="preserve">constellations that e.g., experience satellite outage. </w:t>
      </w:r>
    </w:p>
    <w:p w14:paraId="3C7970B1" w14:textId="77777777" w:rsidR="00AB28B0" w:rsidRDefault="0072688B">
      <w:r>
        <w:t>In case coverage gaps are not handled, UEs will waste power searching for cells to monitor scheduled paging occasions that coincide with coverage gaps, and on cell searches when the UE has data to tra</w:t>
      </w:r>
      <w:r>
        <w:t xml:space="preserve">nsmit. In the worst case, the UE may be unreachable from the network’s point of view because scheduling occasions occur in coverage gaps. Furthermore, the UE may be disconnected from the network and attempt cell-selection and registration (NAS attach) all </w:t>
      </w:r>
      <w:r>
        <w:t>over.</w:t>
      </w:r>
    </w:p>
    <w:p w14:paraId="19E517EF" w14:textId="77777777" w:rsidR="00AB28B0" w:rsidRDefault="0072688B">
      <w:r>
        <w:t xml:space="preserve">Observation #1: </w:t>
      </w:r>
      <w:r>
        <w:rPr>
          <w:i/>
        </w:rPr>
        <w:t>Discontinuous coverage is inherent in NTN NB-IoT and shall be handled to avoid service degradation and extraneous UE power consumption.</w:t>
      </w:r>
    </w:p>
    <w:p w14:paraId="04D3F94E" w14:textId="77777777" w:rsidR="00AB28B0" w:rsidRDefault="0072688B">
      <w:r>
        <w:t>A UE that wishes to transmit or has been scheduled to monitor paging within a coverage gap will fi</w:t>
      </w:r>
      <w:r>
        <w:t>nd itself unable to receive from a cell and therefore attempt to find a new cell and reattach.</w:t>
      </w:r>
    </w:p>
    <w:p w14:paraId="530FD1C5" w14:textId="77777777" w:rsidR="00AB28B0" w:rsidRDefault="0072688B">
      <w:pPr>
        <w:jc w:val="left"/>
        <w:rPr>
          <w:i/>
        </w:rPr>
      </w:pPr>
      <w:r>
        <w:t xml:space="preserve">Observation #2: </w:t>
      </w:r>
      <w:r>
        <w:rPr>
          <w:i/>
        </w:rPr>
        <w:t>To mitigate discontinuous coverage, the UE and network must be aware of gaps in coverage.</w:t>
      </w:r>
    </w:p>
    <w:p w14:paraId="20EF4165" w14:textId="77777777" w:rsidR="00AB28B0" w:rsidRDefault="00AB28B0">
      <w:pPr>
        <w:pStyle w:val="Heading2"/>
      </w:pPr>
      <w:bookmarkStart w:id="4" w:name="_heading=h.e6kaiwanxoux" w:colFirst="0" w:colLast="0"/>
      <w:bookmarkEnd w:id="4"/>
    </w:p>
    <w:p w14:paraId="15AC7678" w14:textId="77777777" w:rsidR="00AB28B0" w:rsidRDefault="0072688B">
      <w:pPr>
        <w:pStyle w:val="Heading2"/>
      </w:pPr>
      <w:bookmarkStart w:id="5" w:name="_heading=h.wowr98kgou4v" w:colFirst="0" w:colLast="0"/>
      <w:bookmarkEnd w:id="5"/>
      <w:r>
        <w:t>2.1 Example of LEO Low Density Constellation</w:t>
      </w:r>
    </w:p>
    <w:p w14:paraId="1449849B" w14:textId="77777777" w:rsidR="00AB28B0" w:rsidRDefault="0072688B">
      <w:r>
        <w:t>As established in [4] (“</w:t>
      </w:r>
      <w:r>
        <w:rPr>
          <w:i/>
        </w:rPr>
        <w:t xml:space="preserve">Discussion on scenarios applicable to NB-IoT </w:t>
      </w:r>
      <w:proofErr w:type="gramStart"/>
      <w:r>
        <w:rPr>
          <w:i/>
        </w:rPr>
        <w:t>NTN</w:t>
      </w:r>
      <w:r>
        <w:t>“</w:t>
      </w:r>
      <w:proofErr w:type="gramEnd"/>
      <w:r>
        <w:t>) and [5] (“</w:t>
      </w:r>
      <w:r>
        <w:rPr>
          <w:i/>
        </w:rPr>
        <w:t xml:space="preserve">Discussion on NB-IoT NTN scenarios </w:t>
      </w:r>
      <w:r>
        <w:rPr>
          <w:i/>
        </w:rPr>
        <w:t>with small satellites / CubeSats</w:t>
      </w:r>
      <w:r>
        <w:t>“), some networks are planned to be established with low density LEO satellite constellations.</w:t>
      </w:r>
    </w:p>
    <w:p w14:paraId="6370EBD3" w14:textId="3BF6D9B1" w:rsidR="00AB28B0" w:rsidRDefault="0072688B">
      <w:r>
        <w:t xml:space="preserve">In a </w:t>
      </w:r>
      <w:r w:rsidR="00B903EB">
        <w:t>low-density</w:t>
      </w:r>
      <w:r>
        <w:t xml:space="preserve"> LEO </w:t>
      </w:r>
      <w:proofErr w:type="gramStart"/>
      <w:r>
        <w:t>constellation</w:t>
      </w:r>
      <w:proofErr w:type="gramEnd"/>
      <w:r>
        <w:t xml:space="preserve"> the service link will only be available for the time the UE is within coverage of one of the s</w:t>
      </w:r>
      <w:r>
        <w:t>atellites. Only rarely – if ever – a UE will be in coverage by more than one satellite. The time for which the service link is available (e.g., “access duration”) may be of only several tens to a few hundreds of seconds and the time in-between coverage (i.</w:t>
      </w:r>
      <w:r>
        <w:t xml:space="preserve">e., “gap duration” or “revisit time”) may extend up to several hours.  This is illustrated in Figure 1. Remarkably, consecutive access opportunities are likely to involve different satellites. </w:t>
      </w:r>
    </w:p>
    <w:p w14:paraId="7E13DC5C" w14:textId="77777777" w:rsidR="00AB28B0" w:rsidRDefault="00AB28B0"/>
    <w:p w14:paraId="5AF9A60A" w14:textId="77777777" w:rsidR="00AB28B0" w:rsidRDefault="0072688B">
      <w:r>
        <w:rPr>
          <w:noProof/>
        </w:rPr>
        <w:lastRenderedPageBreak/>
        <w:drawing>
          <wp:inline distT="0" distB="0" distL="0" distR="0" wp14:anchorId="1A7097AC" wp14:editId="6C776465">
            <wp:extent cx="6037730" cy="1703581"/>
            <wp:effectExtent l="0" t="0" r="0" b="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
                    <a:srcRect/>
                    <a:stretch>
                      <a:fillRect/>
                    </a:stretch>
                  </pic:blipFill>
                  <pic:spPr>
                    <a:xfrm>
                      <a:off x="0" y="0"/>
                      <a:ext cx="6037730" cy="1703581"/>
                    </a:xfrm>
                    <a:prstGeom prst="rect">
                      <a:avLst/>
                    </a:prstGeom>
                    <a:ln/>
                  </pic:spPr>
                </pic:pic>
              </a:graphicData>
            </a:graphic>
          </wp:inline>
        </w:drawing>
      </w:r>
    </w:p>
    <w:p w14:paraId="3663A7C6" w14:textId="77777777" w:rsidR="00AB28B0" w:rsidRDefault="0072688B">
      <w:pPr>
        <w:jc w:val="center"/>
        <w:rPr>
          <w:i/>
        </w:rPr>
      </w:pPr>
      <w:r>
        <w:rPr>
          <w:b/>
          <w:i/>
        </w:rPr>
        <w:t>Figure 1</w:t>
      </w:r>
      <w:r>
        <w:rPr>
          <w:i/>
        </w:rPr>
        <w:t>: Illustration of a sequence of access opportunitie</w:t>
      </w:r>
      <w:r>
        <w:rPr>
          <w:i/>
        </w:rPr>
        <w:t>s as seen by an IoT device located at a fixed position.</w:t>
      </w:r>
    </w:p>
    <w:p w14:paraId="28281E1D" w14:textId="77777777" w:rsidR="00AB28B0" w:rsidRDefault="00AB28B0"/>
    <w:p w14:paraId="26180771" w14:textId="77777777" w:rsidR="00AB28B0" w:rsidRDefault="0072688B">
      <w:r>
        <w:t>For the sake of illustrating the time dynamics of service discontinuity, estimations for access duration and gap duration are provided for a reference 16-satellite Walker constellation with four orbi</w:t>
      </w:r>
      <w:r>
        <w:t>tal planes (4 satellites in each plane) and SSO orbits at 550 km of altitude (see Figure 2). Results have been computed over a grid of locations spread regularly from latitudes between +80º and -80º in steps of 12º. Simulation time is one month. With respe</w:t>
      </w:r>
      <w:r>
        <w:t>ct to the satellite coverage footprint, three distinct elevation angles are considered in the study: 45, 30 and 25 degrees.</w:t>
      </w:r>
    </w:p>
    <w:p w14:paraId="02E249C7" w14:textId="77777777" w:rsidR="00AB28B0" w:rsidRDefault="0072688B">
      <w:pPr>
        <w:jc w:val="center"/>
      </w:pPr>
      <w:r>
        <w:rPr>
          <w:noProof/>
        </w:rPr>
        <w:drawing>
          <wp:inline distT="114300" distB="114300" distL="114300" distR="114300" wp14:anchorId="3B535866" wp14:editId="07731581">
            <wp:extent cx="6119820" cy="4178300"/>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
                    <a:srcRect/>
                    <a:stretch>
                      <a:fillRect/>
                    </a:stretch>
                  </pic:blipFill>
                  <pic:spPr>
                    <a:xfrm>
                      <a:off x="0" y="0"/>
                      <a:ext cx="6119820" cy="4178300"/>
                    </a:xfrm>
                    <a:prstGeom prst="rect">
                      <a:avLst/>
                    </a:prstGeom>
                    <a:ln/>
                  </pic:spPr>
                </pic:pic>
              </a:graphicData>
            </a:graphic>
          </wp:inline>
        </w:drawing>
      </w:r>
    </w:p>
    <w:p w14:paraId="3E3514F6" w14:textId="77777777" w:rsidR="00AB28B0" w:rsidRDefault="0072688B">
      <w:pPr>
        <w:jc w:val="center"/>
        <w:rPr>
          <w:i/>
        </w:rPr>
      </w:pPr>
      <w:r>
        <w:rPr>
          <w:b/>
          <w:i/>
        </w:rPr>
        <w:t>Figure 2</w:t>
      </w:r>
      <w:r>
        <w:rPr>
          <w:i/>
        </w:rPr>
        <w:t>: Reference 16-satellite Walker constellation used for the estimation of access durations and gap durations.</w:t>
      </w:r>
    </w:p>
    <w:p w14:paraId="1571E7A8" w14:textId="77777777" w:rsidR="00AB28B0" w:rsidRDefault="0072688B">
      <w:r>
        <w:br w:type="page"/>
      </w:r>
    </w:p>
    <w:p w14:paraId="4DD0CAAF" w14:textId="77777777" w:rsidR="00AB28B0" w:rsidRDefault="0072688B">
      <w:r>
        <w:lastRenderedPageBreak/>
        <w:t>Figure 3 sh</w:t>
      </w:r>
      <w:r>
        <w:t>ows the estimated access durations for the different latitudes between -80 and 80 degrees (x-axis) and for the three configurations of the satellite visibility cones (</w:t>
      </w:r>
      <w:proofErr w:type="gramStart"/>
      <w:r>
        <w:t>45, 30 and 25 degree</w:t>
      </w:r>
      <w:proofErr w:type="gramEnd"/>
      <w:r>
        <w:t xml:space="preserve"> elevation angles).  Satellite passes with access duration less than </w:t>
      </w:r>
      <w:r>
        <w:t xml:space="preserve">60 seconds have not been accounted for. For instance, </w:t>
      </w:r>
      <w:proofErr w:type="gramStart"/>
      <w:r>
        <w:t>it can be seen that access</w:t>
      </w:r>
      <w:proofErr w:type="gramEnd"/>
      <w:r>
        <w:t xml:space="preserve"> durations, regardless of latitudes, stay within average and maximum values of ~180 and ~235 seconds when considering an elevation angle of 30 degrees for the satellite coverag</w:t>
      </w:r>
      <w:r>
        <w:t xml:space="preserve">e footprint.   </w:t>
      </w:r>
    </w:p>
    <w:p w14:paraId="5DFC6D52" w14:textId="77777777" w:rsidR="00AB28B0" w:rsidRDefault="00AB28B0"/>
    <w:p w14:paraId="37FAC326" w14:textId="77777777" w:rsidR="00AB28B0" w:rsidRDefault="0072688B">
      <w:r>
        <w:rPr>
          <w:noProof/>
        </w:rPr>
        <w:drawing>
          <wp:inline distT="114300" distB="114300" distL="114300" distR="114300" wp14:anchorId="650C9E2C" wp14:editId="301CF38C">
            <wp:extent cx="6300000" cy="3046235"/>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6300000" cy="3046235"/>
                    </a:xfrm>
                    <a:prstGeom prst="rect">
                      <a:avLst/>
                    </a:prstGeom>
                    <a:ln/>
                  </pic:spPr>
                </pic:pic>
              </a:graphicData>
            </a:graphic>
          </wp:inline>
        </w:drawing>
      </w:r>
    </w:p>
    <w:p w14:paraId="2A1D52E9" w14:textId="77777777" w:rsidR="00AB28B0" w:rsidRDefault="0072688B">
      <w:pPr>
        <w:jc w:val="center"/>
        <w:rPr>
          <w:i/>
        </w:rPr>
      </w:pPr>
      <w:r>
        <w:rPr>
          <w:b/>
          <w:i/>
        </w:rPr>
        <w:t>Figure 3</w:t>
      </w:r>
      <w:r>
        <w:rPr>
          <w:i/>
        </w:rPr>
        <w:t xml:space="preserve">: Access duration estimations </w:t>
      </w:r>
    </w:p>
    <w:p w14:paraId="420280C6" w14:textId="77777777" w:rsidR="00AB28B0" w:rsidRDefault="00AB28B0"/>
    <w:p w14:paraId="7512F462" w14:textId="69E60795" w:rsidR="00AB28B0" w:rsidRDefault="0072688B">
      <w:r>
        <w:t xml:space="preserve">Likewise, Figure 4 shows the estimated gap durations. In this case, gap durations vary with the latitude. For instance, at the lower latitudes (+/- 6 degrees), minimum, </w:t>
      </w:r>
      <w:r w:rsidR="00B903EB">
        <w:t>average,</w:t>
      </w:r>
      <w:r>
        <w:t xml:space="preserve"> and maximum values a</w:t>
      </w:r>
      <w:r>
        <w:t xml:space="preserve">re in the order of, respectively, ~1500, ~4000 and ~10000 seconds for satellite elevation angles of 30 degrees.   </w:t>
      </w:r>
    </w:p>
    <w:p w14:paraId="7336463D" w14:textId="77777777" w:rsidR="00AB28B0" w:rsidRDefault="00AB28B0"/>
    <w:p w14:paraId="04318F12" w14:textId="77777777" w:rsidR="00AB28B0" w:rsidRDefault="0072688B">
      <w:r>
        <w:rPr>
          <w:noProof/>
        </w:rPr>
        <w:drawing>
          <wp:inline distT="114300" distB="114300" distL="114300" distR="114300" wp14:anchorId="61B81B79" wp14:editId="6F02D416">
            <wp:extent cx="6300000" cy="2616353"/>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300000" cy="2616353"/>
                    </a:xfrm>
                    <a:prstGeom prst="rect">
                      <a:avLst/>
                    </a:prstGeom>
                    <a:ln/>
                  </pic:spPr>
                </pic:pic>
              </a:graphicData>
            </a:graphic>
          </wp:inline>
        </w:drawing>
      </w:r>
    </w:p>
    <w:p w14:paraId="7C4A5138" w14:textId="77777777" w:rsidR="00AB28B0" w:rsidRDefault="0072688B">
      <w:pPr>
        <w:jc w:val="center"/>
        <w:rPr>
          <w:i/>
        </w:rPr>
      </w:pPr>
      <w:r>
        <w:rPr>
          <w:b/>
          <w:i/>
        </w:rPr>
        <w:t>Figure 4</w:t>
      </w:r>
      <w:r>
        <w:rPr>
          <w:i/>
        </w:rPr>
        <w:t xml:space="preserve">: Gap duration estimations </w:t>
      </w:r>
    </w:p>
    <w:p w14:paraId="4A1ACD93" w14:textId="77777777" w:rsidR="00AB28B0" w:rsidRDefault="00AB28B0"/>
    <w:p w14:paraId="014D608A" w14:textId="77777777" w:rsidR="00AB28B0" w:rsidRDefault="0072688B">
      <w:pPr>
        <w:pStyle w:val="Heading1"/>
      </w:pPr>
      <w:r>
        <w:lastRenderedPageBreak/>
        <w:t xml:space="preserve">3. Discontinuous coverage: Needed </w:t>
      </w:r>
      <w:proofErr w:type="gramStart"/>
      <w:r>
        <w:t>functionality</w:t>
      </w:r>
      <w:proofErr w:type="gramEnd"/>
    </w:p>
    <w:p w14:paraId="107D4356" w14:textId="77777777" w:rsidR="00AB28B0" w:rsidRDefault="0072688B">
      <w:r>
        <w:t>This chapter discusses the functionality needed for s</w:t>
      </w:r>
      <w:r>
        <w:t>upport of discontinuous coverage.</w:t>
      </w:r>
    </w:p>
    <w:p w14:paraId="308CEC5F" w14:textId="77777777" w:rsidR="00AB28B0" w:rsidRDefault="0072688B">
      <w:pPr>
        <w:pStyle w:val="Heading2"/>
      </w:pPr>
      <w:r>
        <w:t>3.1. Delivery of ephemeris of the constellation to UEs</w:t>
      </w:r>
    </w:p>
    <w:p w14:paraId="2954CB59" w14:textId="77777777" w:rsidR="00AB28B0" w:rsidRDefault="0072688B">
      <w:pPr>
        <w:rPr>
          <w:i/>
        </w:rPr>
      </w:pPr>
      <w:r>
        <w:t>The orbit of a satellite can be described by a set of orbital parameters and initial conditions. An almanac contains the coarse orbit and is valid for scheduling purpo</w:t>
      </w:r>
      <w:r>
        <w:t xml:space="preserve">ses days after issuance. This is documented for TLE formats based on on-board GNSS in LEO [7]. A short-term ephemeris </w:t>
      </w:r>
      <w:proofErr w:type="gramStart"/>
      <w:r>
        <w:t>takes into account</w:t>
      </w:r>
      <w:proofErr w:type="gramEnd"/>
      <w:r>
        <w:t xml:space="preserve"> instantaneous perturbations and is used for uplink synchronization. The short-term ephemeris is valid for a relatively </w:t>
      </w:r>
      <w:r>
        <w:t xml:space="preserve">short period of time compared to the almanac and could be given in the form of two subsequent position broadcasts or the broadcast of position and velocity. </w:t>
      </w:r>
    </w:p>
    <w:p w14:paraId="3509D476" w14:textId="77777777" w:rsidR="00AB28B0" w:rsidRDefault="0072688B">
      <w:pPr>
        <w:rPr>
          <w:i/>
        </w:rPr>
      </w:pPr>
      <w:r>
        <w:rPr>
          <w:i/>
        </w:rPr>
        <w:t>Proposal #1: Transmit an almanac for scheduling purposes and a short-term</w:t>
      </w:r>
      <w:r>
        <w:t xml:space="preserve"> ephemeris </w:t>
      </w:r>
      <w:r>
        <w:rPr>
          <w:i/>
        </w:rPr>
        <w:t>for synchronization purposes. This can be an optional feature for operators to support discontinuous coverage (</w:t>
      </w:r>
      <w:proofErr w:type="spellStart"/>
      <w:r>
        <w:rPr>
          <w:i/>
        </w:rPr>
        <w:t>SIBx</w:t>
      </w:r>
      <w:proofErr w:type="spellEnd"/>
      <w:r>
        <w:rPr>
          <w:i/>
        </w:rPr>
        <w:t>).</w:t>
      </w:r>
    </w:p>
    <w:p w14:paraId="55287AC3" w14:textId="77777777" w:rsidR="00AB28B0" w:rsidRDefault="0072688B">
      <w:pPr>
        <w:rPr>
          <w:i/>
        </w:rPr>
      </w:pPr>
      <w:r>
        <w:rPr>
          <w:i/>
        </w:rPr>
        <w:t>Proposal #2: The short-term ephemeris should be broadc</w:t>
      </w:r>
      <w:r>
        <w:rPr>
          <w:i/>
        </w:rPr>
        <w:t>ast as minimum at a rate allowing UEs on the edge to receive and decode the short-term ephemeris within the UEs access window. Since the window size will depend on the constellation, it should be a constellation dependent parameter.</w:t>
      </w:r>
    </w:p>
    <w:p w14:paraId="0CFA5C67" w14:textId="77777777" w:rsidR="00AB28B0" w:rsidRDefault="0072688B">
      <w:pPr>
        <w:rPr>
          <w:i/>
        </w:rPr>
      </w:pPr>
      <w:r>
        <w:rPr>
          <w:i/>
        </w:rPr>
        <w:t>Observation #3: The alm</w:t>
      </w:r>
      <w:r>
        <w:rPr>
          <w:i/>
        </w:rPr>
        <w:t>anac could be broadcast at a lower rate, but also at least once per access window.</w:t>
      </w:r>
    </w:p>
    <w:p w14:paraId="7BB79735" w14:textId="77777777" w:rsidR="00AB28B0" w:rsidRDefault="00AB28B0">
      <w:pPr>
        <w:rPr>
          <w:i/>
        </w:rPr>
      </w:pPr>
    </w:p>
    <w:p w14:paraId="4D30CA82" w14:textId="77777777" w:rsidR="00AB28B0" w:rsidRDefault="0072688B">
      <w:pPr>
        <w:pStyle w:val="Heading2"/>
      </w:pPr>
      <w:bookmarkStart w:id="6" w:name="_heading=h.lo3e807ynvz7" w:colFirst="0" w:colLast="0"/>
      <w:bookmarkEnd w:id="6"/>
      <w:r>
        <w:t>3.2 Cell-search</w:t>
      </w:r>
    </w:p>
    <w:p w14:paraId="63D5B99C" w14:textId="77777777" w:rsidR="00AB28B0" w:rsidRDefault="0072688B">
      <w:r>
        <w:t>Cell-search is fundamental to cell-selection. In this section we discuss the effect of coverage gaps on cell search.</w:t>
      </w:r>
    </w:p>
    <w:p w14:paraId="193E9474" w14:textId="77777777" w:rsidR="00AB28B0" w:rsidRDefault="0072688B">
      <w:r>
        <w:t xml:space="preserve"> </w:t>
      </w:r>
    </w:p>
    <w:p w14:paraId="10D1E682" w14:textId="77777777" w:rsidR="00AB28B0" w:rsidRDefault="0072688B">
      <w:pPr>
        <w:pStyle w:val="Heading3"/>
      </w:pPr>
      <w:bookmarkStart w:id="7" w:name="_heading=h.ctlsfx3oqy4d" w:colFirst="0" w:colLast="0"/>
      <w:bookmarkEnd w:id="7"/>
      <w:r>
        <w:t>3.2.1 No ephemeris knowledge at UE</w:t>
      </w:r>
    </w:p>
    <w:p w14:paraId="5F84BDD3" w14:textId="77777777" w:rsidR="00AB28B0" w:rsidRDefault="0072688B">
      <w:r>
        <w:t>Co</w:t>
      </w:r>
      <w:r>
        <w:t xml:space="preserve">nsider a situation where the UE has not been provisioned with or otherwise informed of the almanac/short-term ephemeris and must ‘blindly’ search for a cell. </w:t>
      </w:r>
    </w:p>
    <w:p w14:paraId="02733520" w14:textId="77777777" w:rsidR="00AB28B0" w:rsidRDefault="0072688B">
      <w:r>
        <w:t>The fastest and most efficient method for finding a cell appears to be simply searching at regular intervals, where the interval length is less than the satellite visibility window (</w:t>
      </w:r>
      <w:proofErr w:type="gramStart"/>
      <w:r>
        <w:t>taking into account</w:t>
      </w:r>
      <w:proofErr w:type="gramEnd"/>
      <w:r>
        <w:t xml:space="preserve"> the time it takes to detect NPSS/NSSS and read system </w:t>
      </w:r>
      <w:r>
        <w:t xml:space="preserve">information including </w:t>
      </w:r>
      <w:proofErr w:type="spellStart"/>
      <w:r>
        <w:t>osculatory</w:t>
      </w:r>
      <w:proofErr w:type="spellEnd"/>
      <w:r>
        <w:t xml:space="preserve"> parameters).</w:t>
      </w:r>
    </w:p>
    <w:p w14:paraId="18C9CE91" w14:textId="77777777" w:rsidR="00AB28B0" w:rsidRDefault="0072688B">
      <w:r>
        <w:t xml:space="preserve">Let the number of cell search trials before the UE has successfully found a cell be denoted </w:t>
      </w:r>
      <m:oMath>
        <m:sSup>
          <m:sSupPr>
            <m:ctrlPr>
              <w:rPr>
                <w:rFonts w:ascii="Cambria Math" w:eastAsia="Cambria Math" w:hAnsi="Cambria Math" w:cs="Cambria Math"/>
              </w:rPr>
            </m:ctrlPr>
          </m:sSupPr>
          <m:e>
            <m:r>
              <w:rPr>
                <w:rFonts w:ascii="Cambria Math" w:eastAsia="Cambria Math" w:hAnsi="Cambria Math" w:cs="Cambria Math"/>
              </w:rPr>
              <m:t>n</m:t>
            </m:r>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oMath>
      <w:r>
        <w:t>.</w:t>
      </w:r>
    </w:p>
    <w:p w14:paraId="11063E2A" w14:textId="77777777" w:rsidR="00AB28B0" w:rsidRDefault="0072688B">
      <w:r>
        <w:t xml:space="preserve">In Figure 5 the distribution of </w:t>
      </w:r>
      <m:oMath>
        <m:sSup>
          <m:sSupPr>
            <m:ctrlPr>
              <w:rPr>
                <w:rFonts w:ascii="Cambria Math" w:eastAsia="Cambria Math" w:hAnsi="Cambria Math" w:cs="Cambria Math"/>
              </w:rPr>
            </m:ctrlPr>
          </m:sSupPr>
          <m:e>
            <m:r>
              <w:rPr>
                <w:rFonts w:ascii="Cambria Math" w:eastAsia="Cambria Math" w:hAnsi="Cambria Math" w:cs="Cambria Math"/>
              </w:rPr>
              <m:t>n</m:t>
            </m:r>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oMath>
      <w:r>
        <w:t xml:space="preserve">has been plotted for worst-case deterministic search in </w:t>
      </w:r>
      <w:r>
        <w:t xml:space="preserve">the Walker constellation of Figure 2; 60 sec visibility window and 9000 sec revisit time. The mean number of trials before success is </w:t>
      </w:r>
      <m:oMath>
        <m:sSup>
          <m:sSupPr>
            <m:ctrlPr>
              <w:rPr>
                <w:rFonts w:ascii="Cambria Math" w:eastAsia="Cambria Math" w:hAnsi="Cambria Math" w:cs="Cambria Math"/>
              </w:rPr>
            </m:ctrlPr>
          </m:sSupPr>
          <m:e>
            <m:r>
              <w:rPr>
                <w:rFonts w:ascii="Cambria Math" w:eastAsia="Cambria Math" w:hAnsi="Cambria Math" w:cs="Cambria Math"/>
              </w:rPr>
              <m:t>E</m:t>
            </m:r>
            <m:r>
              <w:rPr>
                <w:rFonts w:ascii="Cambria Math" w:eastAsia="Cambria Math" w:hAnsi="Cambria Math" w:cs="Cambria Math"/>
              </w:rPr>
              <m:t>[</m:t>
            </m:r>
            <m:r>
              <w:rPr>
                <w:rFonts w:ascii="Cambria Math" w:eastAsia="Cambria Math" w:hAnsi="Cambria Math" w:cs="Cambria Math"/>
              </w:rPr>
              <m:t>n</m:t>
            </m:r>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r>
          <w:rPr>
            <w:rFonts w:ascii="Cambria Math" w:eastAsia="Cambria Math" w:hAnsi="Cambria Math" w:cs="Cambria Math"/>
          </w:rPr>
          <m:t>]= 152.05</m:t>
        </m:r>
      </m:oMath>
      <w:r>
        <w:t xml:space="preserve">for a maximum of </w:t>
      </w:r>
      <m:oMath>
        <m:sSub>
          <m:sSubPr>
            <m:ctrlPr>
              <w:rPr>
                <w:rFonts w:ascii="Cambria Math" w:hAnsi="Cambria Math"/>
              </w:rPr>
            </m:ctrlPr>
          </m:sSubPr>
          <m:e>
            <m:sSup>
              <m:sSupPr>
                <m:ctrlPr>
                  <w:rPr>
                    <w:rFonts w:ascii="Cambria Math" w:eastAsia="Cambria Math" w:hAnsi="Cambria Math" w:cs="Cambria Math"/>
                  </w:rPr>
                </m:ctrlPr>
              </m:sSupPr>
              <m:e>
                <m:sSub>
                  <m:sSubPr>
                    <m:ctrlPr>
                      <w:rPr>
                        <w:rFonts w:ascii="Cambria Math" w:eastAsia="Cambria Math" w:hAnsi="Cambria Math" w:cs="Cambria Math"/>
                      </w:rPr>
                    </m:ctrlPr>
                  </m:sSubPr>
                  <m:e>
                    <m:r>
                      <w:rPr>
                        <w:rFonts w:ascii="Cambria Math" w:eastAsia="Cambria Math" w:hAnsi="Cambria Math" w:cs="Cambria Math"/>
                      </w:rPr>
                      <m:t>n</m:t>
                    </m:r>
                  </m:e>
                  <m:sub/>
                </m:sSub>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e>
          <m:sub/>
        </m:sSub>
        <m:r>
          <w:rPr>
            <w:rFonts w:ascii="Cambria Math" w:eastAsia="Cambria Math" w:hAnsi="Cambria Math" w:cs="Cambria Math"/>
          </w:rPr>
          <m:t>= 305</m:t>
        </m:r>
      </m:oMath>
      <w:r>
        <w:t>.</w:t>
      </w:r>
    </w:p>
    <w:p w14:paraId="378B7F31" w14:textId="77777777" w:rsidR="00AB28B0" w:rsidRDefault="00AB28B0"/>
    <w:p w14:paraId="7D9B3B89" w14:textId="77777777" w:rsidR="00AB28B0" w:rsidRDefault="0072688B">
      <w:pPr>
        <w:jc w:val="center"/>
      </w:pPr>
      <w:r>
        <w:rPr>
          <w:noProof/>
        </w:rPr>
        <w:lastRenderedPageBreak/>
        <w:drawing>
          <wp:inline distT="114300" distB="114300" distL="114300" distR="114300" wp14:anchorId="5A8F35BE" wp14:editId="430DADA3">
            <wp:extent cx="6085523" cy="3030274"/>
            <wp:effectExtent l="0" t="0" r="0" b="0"/>
            <wp:docPr id="1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l="8182" r="2389"/>
                    <a:stretch>
                      <a:fillRect/>
                    </a:stretch>
                  </pic:blipFill>
                  <pic:spPr>
                    <a:xfrm>
                      <a:off x="0" y="0"/>
                      <a:ext cx="6085523" cy="3030274"/>
                    </a:xfrm>
                    <a:prstGeom prst="rect">
                      <a:avLst/>
                    </a:prstGeom>
                    <a:ln/>
                  </pic:spPr>
                </pic:pic>
              </a:graphicData>
            </a:graphic>
          </wp:inline>
        </w:drawing>
      </w:r>
    </w:p>
    <w:p w14:paraId="4747F493" w14:textId="77777777" w:rsidR="00AB28B0" w:rsidRDefault="0072688B">
      <w:pPr>
        <w:jc w:val="center"/>
        <w:rPr>
          <w:i/>
        </w:rPr>
      </w:pPr>
      <w:r>
        <w:rPr>
          <w:b/>
          <w:i/>
        </w:rPr>
        <w:t>Figure 5.</w:t>
      </w:r>
      <w:r>
        <w:rPr>
          <w:i/>
        </w:rPr>
        <w:t xml:space="preserve"> Distribution of </w:t>
      </w:r>
      <m:oMath>
        <m:sSup>
          <m:sSupPr>
            <m:ctrlPr>
              <w:rPr>
                <w:rFonts w:ascii="Cambria Math" w:eastAsia="Cambria Math" w:hAnsi="Cambria Math" w:cs="Cambria Math"/>
              </w:rPr>
            </m:ctrlPr>
          </m:sSupPr>
          <m:e>
            <m:r>
              <w:rPr>
                <w:rFonts w:ascii="Cambria Math" w:eastAsia="Cambria Math" w:hAnsi="Cambria Math" w:cs="Cambria Math"/>
              </w:rPr>
              <m:t>n</m:t>
            </m:r>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oMath>
      <w:r>
        <w:rPr>
          <w:i/>
        </w:rPr>
        <w:t>for determinist</w:t>
      </w:r>
      <w:proofErr w:type="spellStart"/>
      <w:r>
        <w:rPr>
          <w:i/>
        </w:rPr>
        <w:t>ic</w:t>
      </w:r>
      <w:proofErr w:type="spellEnd"/>
      <w:r>
        <w:rPr>
          <w:i/>
        </w:rPr>
        <w:t xml:space="preserve"> search for a cell </w:t>
      </w:r>
      <w:r>
        <w:rPr>
          <w:i/>
        </w:rPr>
        <w:br/>
        <w:t xml:space="preserve">      search interval of 29.5s for 60s visibility window.</w:t>
      </w:r>
    </w:p>
    <w:p w14:paraId="2E7E8458" w14:textId="77777777" w:rsidR="00AB28B0" w:rsidRDefault="00AB28B0"/>
    <w:p w14:paraId="46A7EEBF" w14:textId="77777777" w:rsidR="00AB28B0" w:rsidRDefault="0072688B">
      <w:pPr>
        <w:pStyle w:val="Heading3"/>
      </w:pPr>
      <w:bookmarkStart w:id="8" w:name="_heading=h.m2d68ihg65zg" w:colFirst="0" w:colLast="0"/>
      <w:bookmarkEnd w:id="8"/>
      <w:r>
        <w:t>3.2.2 Ephemeris knowledge at UE</w:t>
      </w:r>
    </w:p>
    <w:p w14:paraId="337EF9DE" w14:textId="0BBB40D0" w:rsidR="00AB28B0" w:rsidRDefault="0072688B">
      <w:bookmarkStart w:id="9" w:name="_heading=h.2et92p0" w:colFirst="0" w:colLast="0"/>
      <w:bookmarkEnd w:id="9"/>
      <w:r>
        <w:t>Consider a situation where the UE has almanac information, which it either was provisioned with or has obtained from an earlier camp on the net</w:t>
      </w:r>
      <w:r>
        <w:t xml:space="preserve">work - and it is not obsolete. In this case the search window can be reduced by means of orbital prediction. For </w:t>
      </w:r>
      <w:r w:rsidR="00B903EB">
        <w:t>instance,</w:t>
      </w:r>
      <w:r>
        <w:t xml:space="preserve"> a reduced search window in the former example of 5 min instead of 2.5 hours results in an average number of trials before success of </w:t>
      </w:r>
      <m:oMath>
        <m:sSup>
          <m:sSupPr>
            <m:ctrlPr>
              <w:rPr>
                <w:rFonts w:ascii="Cambria Math" w:eastAsia="Cambria Math" w:hAnsi="Cambria Math" w:cs="Cambria Math"/>
              </w:rPr>
            </m:ctrlPr>
          </m:sSupPr>
          <m:e>
            <m:r>
              <w:rPr>
                <w:rFonts w:ascii="Cambria Math" w:eastAsia="Cambria Math" w:hAnsi="Cambria Math" w:cs="Cambria Math"/>
              </w:rPr>
              <m:t>E</m:t>
            </m:r>
            <m:r>
              <w:rPr>
                <w:rFonts w:ascii="Cambria Math" w:eastAsia="Cambria Math" w:hAnsi="Cambria Math" w:cs="Cambria Math"/>
              </w:rPr>
              <m:t>[</m:t>
            </m:r>
            <m:r>
              <w:rPr>
                <w:rFonts w:ascii="Cambria Math" w:eastAsia="Cambria Math" w:hAnsi="Cambria Math" w:cs="Cambria Math"/>
              </w:rPr>
              <m:t>n</m:t>
            </m:r>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r>
          <w:rPr>
            <w:rFonts w:ascii="Cambria Math" w:eastAsia="Cambria Math" w:hAnsi="Cambria Math" w:cs="Cambria Math"/>
          </w:rPr>
          <m:t>]= 4.77</m:t>
        </m:r>
      </m:oMath>
      <w:r>
        <w:t xml:space="preserve">for a maximum of </w:t>
      </w:r>
      <m:oMath>
        <m:sSub>
          <m:sSubPr>
            <m:ctrlPr>
              <w:rPr>
                <w:rFonts w:ascii="Cambria Math" w:hAnsi="Cambria Math"/>
              </w:rPr>
            </m:ctrlPr>
          </m:sSubPr>
          <m:e>
            <m:sSup>
              <m:sSupPr>
                <m:ctrlPr>
                  <w:rPr>
                    <w:rFonts w:ascii="Cambria Math" w:eastAsia="Cambria Math" w:hAnsi="Cambria Math" w:cs="Cambria Math"/>
                  </w:rPr>
                </m:ctrlPr>
              </m:sSupPr>
              <m:e>
                <m:sSub>
                  <m:sSubPr>
                    <m:ctrlPr>
                      <w:rPr>
                        <w:rFonts w:ascii="Cambria Math" w:eastAsia="Cambria Math" w:hAnsi="Cambria Math" w:cs="Cambria Math"/>
                      </w:rPr>
                    </m:ctrlPr>
                  </m:sSubPr>
                  <m:e>
                    <m:r>
                      <w:rPr>
                        <w:rFonts w:ascii="Cambria Math" w:eastAsia="Cambria Math" w:hAnsi="Cambria Math" w:cs="Cambria Math"/>
                      </w:rPr>
                      <m:t>n</m:t>
                    </m:r>
                  </m:e>
                  <m:sub/>
                </m:sSub>
              </m:e>
              <m:sup>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p>
            </m:sSup>
          </m:e>
          <m:sub/>
        </m:sSub>
        <m:r>
          <w:rPr>
            <w:rFonts w:ascii="Cambria Math" w:eastAsia="Cambria Math" w:hAnsi="Cambria Math" w:cs="Cambria Math"/>
          </w:rPr>
          <m:t>= 10</m:t>
        </m:r>
      </m:oMath>
      <w:r>
        <w:t>.</w:t>
      </w:r>
    </w:p>
    <w:p w14:paraId="29448361" w14:textId="77777777" w:rsidR="00AB28B0" w:rsidRDefault="00AB28B0"/>
    <w:p w14:paraId="4470EFE3" w14:textId="77777777" w:rsidR="00AB28B0" w:rsidRDefault="0072688B">
      <w:pPr>
        <w:rPr>
          <w:i/>
        </w:rPr>
      </w:pPr>
      <w:r>
        <w:rPr>
          <w:i/>
        </w:rPr>
        <w:t xml:space="preserve">Observation #4: It is possible to reduce UE energy consumption for searching significantly by using </w:t>
      </w:r>
      <w:proofErr w:type="gramStart"/>
      <w:r>
        <w:rPr>
          <w:i/>
        </w:rPr>
        <w:t>almanac based</w:t>
      </w:r>
      <w:proofErr w:type="gramEnd"/>
      <w:r>
        <w:rPr>
          <w:i/>
        </w:rPr>
        <w:t xml:space="preserve"> predictions.</w:t>
      </w:r>
    </w:p>
    <w:p w14:paraId="3BAFB487" w14:textId="77777777" w:rsidR="00AB28B0" w:rsidRDefault="00AB28B0"/>
    <w:p w14:paraId="5EAD6972" w14:textId="77777777" w:rsidR="00AB28B0" w:rsidRDefault="0072688B">
      <w:pPr>
        <w:pStyle w:val="Heading3"/>
        <w:shd w:val="clear" w:color="auto" w:fill="FFFFFF"/>
        <w:spacing w:before="0" w:after="0"/>
      </w:pPr>
      <w:bookmarkStart w:id="10" w:name="_heading=h.3qxwsvtsm9il" w:colFirst="0" w:colLast="0"/>
      <w:bookmarkEnd w:id="10"/>
      <w:r>
        <w:t>3.2.3 Energy Consumption</w:t>
      </w:r>
    </w:p>
    <w:p w14:paraId="3DB3226A" w14:textId="77777777" w:rsidR="00AB28B0" w:rsidRDefault="0072688B">
      <w:r>
        <w:t xml:space="preserve">The PSS/NSS detection is dependent on the </w:t>
      </w:r>
      <w:r>
        <w:t xml:space="preserve">SNR. In this analysis, we assume that the period for detection of PSS/NSS and reading MIB/SIB is 1s and that the power consumed by a UE in RX state is 76 </w:t>
      </w:r>
      <w:proofErr w:type="spellStart"/>
      <w:r>
        <w:t>mW</w:t>
      </w:r>
      <w:proofErr w:type="spellEnd"/>
      <w:r>
        <w:t xml:space="preserve">, as in [3GPP, TR 45.820]. </w:t>
      </w:r>
    </w:p>
    <w:p w14:paraId="1C3C1AD8" w14:textId="77777777" w:rsidR="00AB28B0" w:rsidRDefault="00AB28B0">
      <w:pPr>
        <w:rPr>
          <w:i/>
        </w:rPr>
      </w:pPr>
    </w:p>
    <w:p w14:paraId="48DE9E3E" w14:textId="055E72EC" w:rsidR="00AB28B0" w:rsidRDefault="0072688B">
      <w:r>
        <w:t>A UE will have to perform cell search for cell-selection or re-selectio</w:t>
      </w:r>
      <w:r>
        <w:t xml:space="preserve">n over a band of size BW and is able to search a window FW. </w:t>
      </w:r>
      <w:r w:rsidR="00B903EB">
        <w:t>So,</w:t>
      </w:r>
      <w:r>
        <w:t xml:space="preserve"> a UE must perform </w:t>
      </w:r>
      <m:oMath>
        <m:r>
          <w:rPr>
            <w:rFonts w:ascii="Cambria Math" w:eastAsia="Cambria Math" w:hAnsi="Cambria Math" w:cs="Cambria Math"/>
          </w:rPr>
          <m:t>k</m:t>
        </m:r>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BW</m:t>
            </m:r>
          </m:num>
          <m:den>
            <m:r>
              <w:rPr>
                <w:rFonts w:ascii="Cambria Math" w:eastAsia="Cambria Math" w:hAnsi="Cambria Math" w:cs="Cambria Math"/>
              </w:rPr>
              <m:t>FW</m:t>
            </m:r>
          </m:den>
        </m:f>
        <m:r>
          <w:rPr>
            <w:rFonts w:ascii="Cambria Math" w:eastAsia="Cambria Math" w:hAnsi="Cambria Math" w:cs="Cambria Math"/>
          </w:rPr>
          <m:t>⌉</m:t>
        </m:r>
      </m:oMath>
      <w:r>
        <w:t xml:space="preserve"> searches per cell search trial.</w:t>
      </w:r>
    </w:p>
    <w:p w14:paraId="1F699F32" w14:textId="77777777" w:rsidR="00AB28B0" w:rsidRDefault="0072688B">
      <w:proofErr w:type="gramStart"/>
      <w:r>
        <w:t>So</w:t>
      </w:r>
      <w:proofErr w:type="gramEnd"/>
      <w:r>
        <w:t xml:space="preserve"> the energy consumed during cell search is </w:t>
      </w:r>
      <m:oMath>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searc</m:t>
            </m:r>
            <m:r>
              <w:rPr>
                <w:rFonts w:ascii="Cambria Math" w:eastAsia="Cambria Math" w:hAnsi="Cambria Math" w:cs="Cambria Math"/>
              </w:rPr>
              <m:t>h</m:t>
            </m:r>
            <m:r>
              <w:rPr>
                <w:rFonts w:ascii="Cambria Math" w:eastAsia="Cambria Math" w:hAnsi="Cambria Math" w:cs="Cambria Math"/>
              </w:rPr>
              <m:t xml:space="preserve"> </m:t>
            </m:r>
          </m:sub>
        </m:sSub>
        <m:r>
          <w:rPr>
            <w:rFonts w:ascii="Cambria Math" w:eastAsia="Cambria Math" w:hAnsi="Cambria Math" w:cs="Cambria Math"/>
          </w:rPr>
          <m:t>⋅</m:t>
        </m:r>
        <m:r>
          <w:rPr>
            <w:rFonts w:ascii="Cambria Math" w:eastAsia="Cambria Math" w:hAnsi="Cambria Math" w:cs="Cambria Math"/>
          </w:rPr>
          <m:t xml:space="preserve"> </m:t>
        </m:r>
        <m:r>
          <w:rPr>
            <w:rFonts w:ascii="Cambria Math" w:eastAsia="Cambria Math" w:hAnsi="Cambria Math" w:cs="Cambria Math"/>
          </w:rPr>
          <m:t>k</m:t>
        </m:r>
        <m:r>
          <w:rPr>
            <w:rFonts w:ascii="Cambria Math" w:eastAsia="Cambria Math" w:hAnsi="Cambria Math" w:cs="Cambria Math"/>
          </w:rPr>
          <m:t>⋅</m:t>
        </m:r>
        <m:r>
          <w:rPr>
            <w:rFonts w:ascii="Cambria Math" w:eastAsia="Cambria Math" w:hAnsi="Cambria Math" w:cs="Cambria Math"/>
          </w:rPr>
          <m:t>76 [</m:t>
        </m:r>
        <m:r>
          <w:rPr>
            <w:rFonts w:ascii="Cambria Math" w:eastAsia="Cambria Math" w:hAnsi="Cambria Math" w:cs="Cambria Math"/>
          </w:rPr>
          <m:t>mJ</m:t>
        </m:r>
        <m:r>
          <w:rPr>
            <w:rFonts w:ascii="Cambria Math" w:eastAsia="Cambria Math" w:hAnsi="Cambria Math" w:cs="Cambria Math"/>
          </w:rPr>
          <m:t>]</m:t>
        </m:r>
      </m:oMath>
      <w:r>
        <w:t>.</w:t>
      </w:r>
    </w:p>
    <w:p w14:paraId="320CFF81" w14:textId="77777777" w:rsidR="00AB28B0" w:rsidRDefault="0072688B">
      <w:pPr>
        <w:rPr>
          <w:i/>
        </w:rPr>
      </w:pPr>
      <w:r>
        <w:rPr>
          <w:i/>
        </w:rPr>
        <w:t xml:space="preserve">Observation #5: The number of cell search trials can be 100s compared to typically 1 in terrestrial NB-IoT depending on the coverage scenario, which results in relatively large energy consumption. </w:t>
      </w:r>
    </w:p>
    <w:p w14:paraId="37B2D680" w14:textId="77777777" w:rsidR="00AB28B0" w:rsidRDefault="0072688B">
      <w:pPr>
        <w:rPr>
          <w:i/>
        </w:rPr>
      </w:pPr>
      <w:r>
        <w:rPr>
          <w:i/>
        </w:rPr>
        <w:t>Proposal #3: The cell search process should be optimized f</w:t>
      </w:r>
      <w:r>
        <w:rPr>
          <w:i/>
        </w:rPr>
        <w:t>or energy consumption in NTN.</w:t>
      </w:r>
    </w:p>
    <w:p w14:paraId="62DBAFC9" w14:textId="77777777" w:rsidR="00AB28B0" w:rsidRDefault="0072688B">
      <w:pPr>
        <w:pStyle w:val="Heading2"/>
      </w:pPr>
      <w:bookmarkStart w:id="11" w:name="_heading=h.fl5amv1xdh2b" w:colFirst="0" w:colLast="0"/>
      <w:bookmarkEnd w:id="11"/>
      <w:r>
        <w:lastRenderedPageBreak/>
        <w:t>3.3 Paging</w:t>
      </w:r>
    </w:p>
    <w:p w14:paraId="20F39035" w14:textId="77777777" w:rsidR="00AB28B0" w:rsidRDefault="0072688B">
      <w:r>
        <w:t xml:space="preserve">The network schedules paging occasion for UEs. In the time between paging occasions the network may apply a power saving scheme on the UE e.g., </w:t>
      </w:r>
      <w:proofErr w:type="spellStart"/>
      <w:r>
        <w:t>iDRX</w:t>
      </w:r>
      <w:proofErr w:type="spellEnd"/>
      <w:r>
        <w:t xml:space="preserve"> or PSM. </w:t>
      </w:r>
    </w:p>
    <w:p w14:paraId="3AF00118" w14:textId="0D8EFD2C" w:rsidR="00AB28B0" w:rsidRDefault="0072688B">
      <w:pPr>
        <w:rPr>
          <w:i/>
        </w:rPr>
      </w:pPr>
      <w:r>
        <w:rPr>
          <w:i/>
        </w:rPr>
        <w:t>Observation #6: A UE waking up to receive paging while in</w:t>
      </w:r>
      <w:r>
        <w:rPr>
          <w:i/>
        </w:rPr>
        <w:t xml:space="preserve"> a coverage gap will unnecessarily consume </w:t>
      </w:r>
      <w:r w:rsidR="00B903EB">
        <w:rPr>
          <w:i/>
        </w:rPr>
        <w:t>energy.</w:t>
      </w:r>
    </w:p>
    <w:p w14:paraId="2466C645" w14:textId="77777777" w:rsidR="00AB28B0" w:rsidRDefault="0072688B">
      <w:pPr>
        <w:rPr>
          <w:i/>
        </w:rPr>
      </w:pPr>
      <w:r>
        <w:rPr>
          <w:i/>
        </w:rPr>
        <w:t>Observation #7</w:t>
      </w:r>
      <w:r>
        <w:t xml:space="preserve">: </w:t>
      </w:r>
      <w:r>
        <w:rPr>
          <w:i/>
        </w:rPr>
        <w:t>A UE for which scheduled paging occasions coincide with coverage gaps will be unreachable by the network.</w:t>
      </w:r>
    </w:p>
    <w:p w14:paraId="0E5FCCB6" w14:textId="4AA8FE00" w:rsidR="00AB28B0" w:rsidRDefault="0072688B">
      <w:pPr>
        <w:rPr>
          <w:i/>
        </w:rPr>
      </w:pPr>
      <w:r>
        <w:rPr>
          <w:i/>
        </w:rPr>
        <w:t>Observation #8: The network may plan paging occasions for UEs to coincide with sat</w:t>
      </w:r>
      <w:r>
        <w:rPr>
          <w:i/>
        </w:rPr>
        <w:t>ellite coverage of tracking areas (TA)s.</w:t>
      </w:r>
    </w:p>
    <w:p w14:paraId="0C3D2841" w14:textId="77777777" w:rsidR="00AB28B0" w:rsidRDefault="0072688B">
      <w:pPr>
        <w:rPr>
          <w:i/>
        </w:rPr>
      </w:pPr>
      <w:r>
        <w:rPr>
          <w:i/>
        </w:rPr>
        <w:t>Proposal #4: The network and UEs should agree upon the timing of paging occasions such that they coincide with satellite coverage.</w:t>
      </w:r>
    </w:p>
    <w:p w14:paraId="213DF9B1" w14:textId="77777777" w:rsidR="00AB28B0" w:rsidRDefault="0072688B">
      <w:pPr>
        <w:rPr>
          <w:i/>
        </w:rPr>
      </w:pPr>
      <w:r>
        <w:rPr>
          <w:i/>
        </w:rPr>
        <w:t xml:space="preserve">Proposal #5: 3GPP to further study how to adapt </w:t>
      </w:r>
      <w:proofErr w:type="spellStart"/>
      <w:r>
        <w:rPr>
          <w:i/>
        </w:rPr>
        <w:t>iDRX</w:t>
      </w:r>
      <w:proofErr w:type="spellEnd"/>
      <w:r>
        <w:rPr>
          <w:i/>
        </w:rPr>
        <w:t xml:space="preserve"> and PSM for discontinuous cover</w:t>
      </w:r>
      <w:r>
        <w:rPr>
          <w:i/>
        </w:rPr>
        <w:t>age and cell-reselection.</w:t>
      </w:r>
    </w:p>
    <w:p w14:paraId="61A0B7FE" w14:textId="77777777" w:rsidR="00AB28B0" w:rsidRDefault="0072688B">
      <w:pPr>
        <w:rPr>
          <w:i/>
        </w:rPr>
      </w:pPr>
      <w:r>
        <w:t xml:space="preserve"> </w:t>
      </w:r>
    </w:p>
    <w:p w14:paraId="6DBF6A0E" w14:textId="77777777" w:rsidR="00AB28B0" w:rsidRDefault="0072688B">
      <w:pPr>
        <w:pStyle w:val="Heading3"/>
      </w:pPr>
      <w:bookmarkStart w:id="12" w:name="_heading=h.8d1bktreltub" w:colFirst="0" w:colLast="0"/>
      <w:bookmarkEnd w:id="12"/>
      <w:r>
        <w:t>3.3.2 Power Save Mode</w:t>
      </w:r>
    </w:p>
    <w:p w14:paraId="635492AB" w14:textId="77777777" w:rsidR="00AB28B0" w:rsidRDefault="0072688B">
      <w:r>
        <w:t>Power saving may extend for up to two weeks in terrestrial NB-IoT (</w:t>
      </w:r>
      <w:r>
        <w:rPr>
          <w:i/>
        </w:rPr>
        <w:t>T3412</w:t>
      </w:r>
      <w:r>
        <w:t xml:space="preserve">). The UE will then receive </w:t>
      </w:r>
      <w:proofErr w:type="spellStart"/>
      <w:r>
        <w:t>pagings</w:t>
      </w:r>
      <w:proofErr w:type="spellEnd"/>
      <w:r>
        <w:t xml:space="preserve"> for time specified by </w:t>
      </w:r>
      <w:r>
        <w:rPr>
          <w:i/>
        </w:rPr>
        <w:t>T3324</w:t>
      </w:r>
      <w:r>
        <w:t xml:space="preserve">. </w:t>
      </w:r>
    </w:p>
    <w:p w14:paraId="3E8BA66D" w14:textId="77777777" w:rsidR="00AB28B0" w:rsidRDefault="0072688B">
      <w:pPr>
        <w:rPr>
          <w:i/>
        </w:rPr>
      </w:pPr>
      <w:r>
        <w:rPr>
          <w:i/>
        </w:rPr>
        <w:t>Proposal #6: Re-use the current PSM scheme adjusting only the timers</w:t>
      </w:r>
      <w:r>
        <w:rPr>
          <w:i/>
        </w:rPr>
        <w:t xml:space="preserve"> with the wait-time until the next satellite covers the UE.</w:t>
      </w:r>
    </w:p>
    <w:p w14:paraId="0E7C8A8D" w14:textId="77777777" w:rsidR="00AB28B0" w:rsidRDefault="0072688B">
      <w:pPr>
        <w:rPr>
          <w:i/>
        </w:rPr>
      </w:pPr>
      <w:r>
        <w:t xml:space="preserve">This means the network shall expect UE wake-up after PSM to be T3412 + (time to next visibility window). E.g., the UE shall be expected to be awake upon the next coverage period after PSM wake-up </w:t>
      </w:r>
      <w:r>
        <w:t xml:space="preserve">time. T3324 may be re-defined to start at this time; T3324 may start when the UE has found a cell </w:t>
      </w:r>
      <w:proofErr w:type="gramStart"/>
      <w:r>
        <w:t>and on the network</w:t>
      </w:r>
      <w:proofErr w:type="gramEnd"/>
      <w:r>
        <w:t>-side as the time the UE is expected to be in coverage after T3412 expires.</w:t>
      </w:r>
    </w:p>
    <w:p w14:paraId="5ADC0CBA" w14:textId="77777777" w:rsidR="00AB28B0" w:rsidRDefault="00AB28B0"/>
    <w:p w14:paraId="46E11CAD" w14:textId="77777777" w:rsidR="00AB28B0" w:rsidRDefault="00AB28B0"/>
    <w:p w14:paraId="45160246" w14:textId="77777777" w:rsidR="00AB28B0" w:rsidRDefault="00AB28B0"/>
    <w:p w14:paraId="786200B5" w14:textId="77777777" w:rsidR="00AB28B0" w:rsidRDefault="00AB28B0">
      <w:pPr>
        <w:rPr>
          <w:b/>
          <w:highlight w:val="green"/>
        </w:rPr>
      </w:pPr>
    </w:p>
    <w:p w14:paraId="62C21251" w14:textId="77777777" w:rsidR="00AB28B0" w:rsidRDefault="0072688B">
      <w:pPr>
        <w:pStyle w:val="Heading1"/>
      </w:pPr>
      <w:bookmarkStart w:id="13" w:name="_heading=h.jtocuymew7ig" w:colFirst="0" w:colLast="0"/>
      <w:bookmarkEnd w:id="13"/>
      <w:r>
        <w:br w:type="page"/>
      </w:r>
    </w:p>
    <w:p w14:paraId="4A45A34A" w14:textId="77777777" w:rsidR="00AB28B0" w:rsidRDefault="0072688B">
      <w:pPr>
        <w:pStyle w:val="Heading1"/>
      </w:pPr>
      <w:bookmarkStart w:id="14" w:name="_heading=h.17vk7a4ac9u" w:colFirst="0" w:colLast="0"/>
      <w:bookmarkEnd w:id="14"/>
      <w:r>
        <w:lastRenderedPageBreak/>
        <w:t>4. Summary and Conclusions</w:t>
      </w:r>
    </w:p>
    <w:p w14:paraId="6C961D01" w14:textId="77777777" w:rsidR="00AB28B0" w:rsidRDefault="0072688B">
      <w:r>
        <w:t>In this contribution, we discuss the opportunity for 3GPP to support discontinuous service links as part of the IoT NTN SI work. The relevance was justified, and characteristics provided. Procedures which are affected and falling in the RAN2 scope were lis</w:t>
      </w:r>
      <w:r>
        <w:t>ted with associated proposed study items.</w:t>
      </w:r>
    </w:p>
    <w:p w14:paraId="55E3A85F" w14:textId="77777777" w:rsidR="00AB28B0" w:rsidRDefault="0072688B">
      <w:pPr>
        <w:spacing w:before="0" w:after="120" w:line="280" w:lineRule="auto"/>
      </w:pPr>
      <w:r>
        <w:t>The following observations and proposals are made:</w:t>
      </w:r>
    </w:p>
    <w:p w14:paraId="19BF2BD7" w14:textId="77777777" w:rsidR="00AB28B0" w:rsidRDefault="00AB28B0"/>
    <w:p w14:paraId="56019D16" w14:textId="77777777" w:rsidR="00AB28B0" w:rsidRDefault="0072688B">
      <w:r>
        <w:rPr>
          <w:b/>
        </w:rPr>
        <w:t>Observation #1:</w:t>
      </w:r>
      <w:r>
        <w:t xml:space="preserve"> </w:t>
      </w:r>
      <w:r>
        <w:rPr>
          <w:i/>
        </w:rPr>
        <w:t>Discontinuous coverage is inherent in NTN NB-IoT and shall be handled to avoid service degradation and extraneous UE power consumption.</w:t>
      </w:r>
    </w:p>
    <w:p w14:paraId="16F447DC" w14:textId="77777777" w:rsidR="00AB28B0" w:rsidRDefault="0072688B">
      <w:pPr>
        <w:jc w:val="left"/>
        <w:rPr>
          <w:i/>
        </w:rPr>
      </w:pPr>
      <w:r>
        <w:rPr>
          <w:b/>
        </w:rPr>
        <w:t>Observatio</w:t>
      </w:r>
      <w:r>
        <w:rPr>
          <w:b/>
        </w:rPr>
        <w:t>n #2:</w:t>
      </w:r>
      <w:r>
        <w:t xml:space="preserve"> </w:t>
      </w:r>
      <w:r>
        <w:rPr>
          <w:i/>
        </w:rPr>
        <w:t>To mitigate discontinuous coverage, the UE and network must be aware of gaps in coverage.</w:t>
      </w:r>
    </w:p>
    <w:p w14:paraId="347587DB" w14:textId="77777777" w:rsidR="00AB28B0" w:rsidRDefault="0072688B">
      <w:pPr>
        <w:pBdr>
          <w:top w:val="single" w:sz="4" w:space="1" w:color="000000"/>
          <w:left w:val="single" w:sz="4" w:space="4" w:color="000000"/>
          <w:bottom w:val="single" w:sz="4" w:space="1" w:color="000000"/>
          <w:right w:val="single" w:sz="4" w:space="4" w:color="000000"/>
        </w:pBdr>
        <w:rPr>
          <w:i/>
        </w:rPr>
      </w:pPr>
      <w:r>
        <w:rPr>
          <w:b/>
        </w:rPr>
        <w:t>Proposal #1</w:t>
      </w:r>
      <w:r>
        <w:rPr>
          <w:i/>
        </w:rPr>
        <w:t>: Transmit an almanac for scheduling purposes and a short-term</w:t>
      </w:r>
      <w:r>
        <w:t xml:space="preserve"> ephemeris </w:t>
      </w:r>
      <w:r>
        <w:rPr>
          <w:i/>
        </w:rPr>
        <w:t>for synchronization purposes. This can be an optional feature for operators to support discontinuous coverage (</w:t>
      </w:r>
      <w:proofErr w:type="spellStart"/>
      <w:r>
        <w:rPr>
          <w:i/>
        </w:rPr>
        <w:t>SIBx</w:t>
      </w:r>
      <w:proofErr w:type="spellEnd"/>
      <w:r>
        <w:rPr>
          <w:i/>
        </w:rPr>
        <w:t>).</w:t>
      </w:r>
    </w:p>
    <w:p w14:paraId="1BE9BA99" w14:textId="77777777" w:rsidR="00AB28B0" w:rsidRDefault="0072688B">
      <w:pPr>
        <w:pBdr>
          <w:top w:val="single" w:sz="4" w:space="1" w:color="000000"/>
          <w:left w:val="single" w:sz="4" w:space="4" w:color="000000"/>
          <w:bottom w:val="single" w:sz="4" w:space="1" w:color="000000"/>
          <w:right w:val="single" w:sz="4" w:space="4" w:color="000000"/>
        </w:pBdr>
        <w:rPr>
          <w:i/>
        </w:rPr>
      </w:pPr>
      <w:r>
        <w:rPr>
          <w:b/>
        </w:rPr>
        <w:t>Proposal #2</w:t>
      </w:r>
      <w:r>
        <w:rPr>
          <w:i/>
        </w:rPr>
        <w:t>: The short-term ephemeris should be broadcast as minimum at a rate allowing UEs on the edge to receive and decode the short-te</w:t>
      </w:r>
      <w:r>
        <w:rPr>
          <w:i/>
        </w:rPr>
        <w:t>rm ephemeris within the UEs access window. Since the window size will depend on the constellation, it should be a constellation dependent parameter.</w:t>
      </w:r>
    </w:p>
    <w:p w14:paraId="70A8317B" w14:textId="77777777" w:rsidR="00AB28B0" w:rsidRDefault="00AB28B0">
      <w:pPr>
        <w:rPr>
          <w:b/>
        </w:rPr>
      </w:pPr>
    </w:p>
    <w:p w14:paraId="7F7F3AD5" w14:textId="77777777" w:rsidR="00AB28B0" w:rsidRDefault="0072688B">
      <w:pPr>
        <w:rPr>
          <w:i/>
        </w:rPr>
      </w:pPr>
      <w:r>
        <w:rPr>
          <w:b/>
        </w:rPr>
        <w:t>Observation #3:</w:t>
      </w:r>
      <w:r>
        <w:rPr>
          <w:i/>
        </w:rPr>
        <w:t xml:space="preserve"> The almanac could be broadcast at a lower rate, but also at least once per access window.</w:t>
      </w:r>
    </w:p>
    <w:p w14:paraId="4F010706" w14:textId="77777777" w:rsidR="00AB28B0" w:rsidRDefault="0072688B">
      <w:pPr>
        <w:rPr>
          <w:i/>
        </w:rPr>
      </w:pPr>
      <w:r>
        <w:rPr>
          <w:b/>
        </w:rPr>
        <w:t>Observation #4:</w:t>
      </w:r>
      <w:r>
        <w:rPr>
          <w:i/>
        </w:rPr>
        <w:t xml:space="preserve"> It is possible to reduce UE energy consumption for searching significantly by using </w:t>
      </w:r>
      <w:proofErr w:type="gramStart"/>
      <w:r>
        <w:rPr>
          <w:i/>
        </w:rPr>
        <w:t>almanac based</w:t>
      </w:r>
      <w:proofErr w:type="gramEnd"/>
      <w:r>
        <w:rPr>
          <w:i/>
        </w:rPr>
        <w:t xml:space="preserve"> predictions.</w:t>
      </w:r>
    </w:p>
    <w:p w14:paraId="75773E94" w14:textId="77777777" w:rsidR="00AB28B0" w:rsidRDefault="0072688B">
      <w:pPr>
        <w:rPr>
          <w:i/>
        </w:rPr>
      </w:pPr>
      <w:r>
        <w:rPr>
          <w:b/>
        </w:rPr>
        <w:t>Observation #5:</w:t>
      </w:r>
      <w:r>
        <w:rPr>
          <w:i/>
        </w:rPr>
        <w:t xml:space="preserve"> The number of cell search trials can be 100s compared to typically 1 in terrestrial NB-IoT depending on the cover</w:t>
      </w:r>
      <w:r>
        <w:rPr>
          <w:i/>
        </w:rPr>
        <w:t xml:space="preserve">age scenario, which results in relatively large energy consumption. </w:t>
      </w:r>
    </w:p>
    <w:p w14:paraId="7AA8A5F4" w14:textId="77777777" w:rsidR="00AB28B0" w:rsidRDefault="0072688B">
      <w:pPr>
        <w:pBdr>
          <w:top w:val="single" w:sz="4" w:space="1" w:color="000000"/>
          <w:left w:val="single" w:sz="4" w:space="4" w:color="000000"/>
          <w:bottom w:val="single" w:sz="4" w:space="1" w:color="000000"/>
          <w:right w:val="single" w:sz="4" w:space="4" w:color="000000"/>
        </w:pBdr>
        <w:rPr>
          <w:i/>
        </w:rPr>
      </w:pPr>
      <w:r>
        <w:rPr>
          <w:b/>
        </w:rPr>
        <w:t>Proposal #3</w:t>
      </w:r>
      <w:r>
        <w:rPr>
          <w:i/>
        </w:rPr>
        <w:t>: The cell search process should be optimized for energy consumption in NTN.</w:t>
      </w:r>
    </w:p>
    <w:p w14:paraId="32F37AF3" w14:textId="77777777" w:rsidR="00AB28B0" w:rsidRDefault="00AB28B0">
      <w:pPr>
        <w:rPr>
          <w:b/>
        </w:rPr>
      </w:pPr>
    </w:p>
    <w:p w14:paraId="41C0991D" w14:textId="7CD88ECB" w:rsidR="00AB28B0" w:rsidRDefault="0072688B">
      <w:pPr>
        <w:rPr>
          <w:i/>
        </w:rPr>
      </w:pPr>
      <w:r>
        <w:rPr>
          <w:b/>
        </w:rPr>
        <w:t>Observation #6:</w:t>
      </w:r>
      <w:r>
        <w:rPr>
          <w:i/>
        </w:rPr>
        <w:t xml:space="preserve"> A UE waking up to receive paging while in a coverage gap will unnecessarily consum</w:t>
      </w:r>
      <w:r>
        <w:rPr>
          <w:i/>
        </w:rPr>
        <w:t>e energy.</w:t>
      </w:r>
    </w:p>
    <w:p w14:paraId="14BEC966" w14:textId="77777777" w:rsidR="00AB28B0" w:rsidRDefault="0072688B">
      <w:pPr>
        <w:rPr>
          <w:i/>
        </w:rPr>
      </w:pPr>
      <w:r>
        <w:rPr>
          <w:b/>
        </w:rPr>
        <w:t>Observation #7:</w:t>
      </w:r>
      <w:r>
        <w:t xml:space="preserve"> </w:t>
      </w:r>
      <w:r>
        <w:rPr>
          <w:i/>
        </w:rPr>
        <w:t>A UE for which scheduled paging occasions coincide with coverage gaps will be unreachable by the network.</w:t>
      </w:r>
    </w:p>
    <w:p w14:paraId="76411C0D" w14:textId="77777777" w:rsidR="00AB28B0" w:rsidRDefault="0072688B">
      <w:pPr>
        <w:rPr>
          <w:i/>
        </w:rPr>
      </w:pPr>
      <w:r>
        <w:rPr>
          <w:b/>
        </w:rPr>
        <w:t>Observation #8:</w:t>
      </w:r>
      <w:r>
        <w:rPr>
          <w:i/>
        </w:rPr>
        <w:t xml:space="preserve"> The network may plan paging occasions for UEs to coincide with satellite coverage of tracking areas (TA)s.</w:t>
      </w:r>
    </w:p>
    <w:p w14:paraId="3ADE224C" w14:textId="77777777" w:rsidR="00AB28B0" w:rsidRDefault="0072688B">
      <w:pPr>
        <w:pBdr>
          <w:top w:val="single" w:sz="4" w:space="1" w:color="000000"/>
          <w:left w:val="single" w:sz="4" w:space="4" w:color="000000"/>
          <w:bottom w:val="single" w:sz="4" w:space="1" w:color="000000"/>
          <w:right w:val="single" w:sz="4" w:space="4" w:color="000000"/>
        </w:pBdr>
        <w:rPr>
          <w:i/>
        </w:rPr>
      </w:pPr>
      <w:r>
        <w:rPr>
          <w:b/>
        </w:rPr>
        <w:t>Pr</w:t>
      </w:r>
      <w:r>
        <w:rPr>
          <w:b/>
        </w:rPr>
        <w:t>oposal #4</w:t>
      </w:r>
      <w:r>
        <w:rPr>
          <w:i/>
        </w:rPr>
        <w:t>: The network and UEs should agree upon the timing of paging occasions such that they coincide with satellite coverage.</w:t>
      </w:r>
    </w:p>
    <w:p w14:paraId="76D695F2" w14:textId="77777777" w:rsidR="00AB28B0" w:rsidRDefault="0072688B">
      <w:pPr>
        <w:pBdr>
          <w:top w:val="single" w:sz="4" w:space="1" w:color="000000"/>
          <w:left w:val="single" w:sz="4" w:space="4" w:color="000000"/>
          <w:bottom w:val="single" w:sz="4" w:space="1" w:color="000000"/>
          <w:right w:val="single" w:sz="4" w:space="4" w:color="000000"/>
        </w:pBdr>
        <w:rPr>
          <w:i/>
        </w:rPr>
      </w:pPr>
      <w:r>
        <w:rPr>
          <w:b/>
        </w:rPr>
        <w:t>Proposal #5</w:t>
      </w:r>
      <w:r>
        <w:rPr>
          <w:i/>
        </w:rPr>
        <w:t xml:space="preserve">: 3GPP to further study how to adapt </w:t>
      </w:r>
      <w:proofErr w:type="spellStart"/>
      <w:r>
        <w:rPr>
          <w:i/>
        </w:rPr>
        <w:t>iDRX</w:t>
      </w:r>
      <w:proofErr w:type="spellEnd"/>
      <w:r>
        <w:rPr>
          <w:i/>
        </w:rPr>
        <w:t xml:space="preserve"> and PSM for discontinuous coverage and cell-reselection.</w:t>
      </w:r>
    </w:p>
    <w:p w14:paraId="21436B0A" w14:textId="77777777" w:rsidR="00AB28B0" w:rsidRDefault="0072688B">
      <w:pPr>
        <w:pBdr>
          <w:top w:val="single" w:sz="4" w:space="1" w:color="000000"/>
          <w:left w:val="single" w:sz="4" w:space="4" w:color="000000"/>
          <w:bottom w:val="single" w:sz="4" w:space="1" w:color="000000"/>
          <w:right w:val="single" w:sz="4" w:space="4" w:color="000000"/>
        </w:pBdr>
        <w:rPr>
          <w:i/>
        </w:rPr>
      </w:pPr>
      <w:r>
        <w:rPr>
          <w:b/>
        </w:rPr>
        <w:t>Proposal #6</w:t>
      </w:r>
      <w:r>
        <w:rPr>
          <w:i/>
        </w:rPr>
        <w:t>: Re-u</w:t>
      </w:r>
      <w:r>
        <w:rPr>
          <w:i/>
        </w:rPr>
        <w:t>se the current PSM scheme adjusting only the timers with the wait-time until the next satellite covers the UE.</w:t>
      </w:r>
    </w:p>
    <w:p w14:paraId="326E1781" w14:textId="77777777" w:rsidR="00AB28B0" w:rsidRDefault="0072688B">
      <w:pPr>
        <w:pStyle w:val="Heading1"/>
      </w:pPr>
      <w:bookmarkStart w:id="15" w:name="_heading=h.3znysh7" w:colFirst="0" w:colLast="0"/>
      <w:bookmarkEnd w:id="15"/>
      <w:r>
        <w:br w:type="page"/>
      </w:r>
    </w:p>
    <w:p w14:paraId="44888488" w14:textId="77777777" w:rsidR="00AB28B0" w:rsidRDefault="0072688B">
      <w:pPr>
        <w:pStyle w:val="Heading1"/>
      </w:pPr>
      <w:bookmarkStart w:id="16" w:name="_heading=h.pgi846q4o61k" w:colFirst="0" w:colLast="0"/>
      <w:bookmarkEnd w:id="16"/>
      <w:r>
        <w:lastRenderedPageBreak/>
        <w:t>5.4 References</w:t>
      </w:r>
    </w:p>
    <w:p w14:paraId="445138FC" w14:textId="77777777" w:rsidR="00AB28B0" w:rsidRDefault="00AB28B0">
      <w:pPr>
        <w:pBdr>
          <w:top w:val="nil"/>
          <w:left w:val="nil"/>
          <w:bottom w:val="nil"/>
          <w:right w:val="nil"/>
          <w:between w:val="nil"/>
        </w:pBdr>
        <w:spacing w:after="60"/>
        <w:ind w:left="6031"/>
      </w:pPr>
    </w:p>
    <w:p w14:paraId="7B0404BE" w14:textId="6AB053FC" w:rsidR="00AB28B0" w:rsidRDefault="0072688B" w:rsidP="00971267">
      <w:pPr>
        <w:numPr>
          <w:ilvl w:val="0"/>
          <w:numId w:val="1"/>
        </w:numPr>
        <w:pBdr>
          <w:top w:val="nil"/>
          <w:left w:val="nil"/>
          <w:bottom w:val="nil"/>
          <w:right w:val="nil"/>
          <w:between w:val="nil"/>
        </w:pBdr>
        <w:spacing w:after="60"/>
        <w:ind w:left="230" w:right="-1"/>
        <w:jc w:val="left"/>
      </w:pPr>
      <w:r>
        <w:t xml:space="preserve">R2-2102419, “Summary for Control Plane Procedures in IoT-NTN”, </w:t>
      </w:r>
      <w:proofErr w:type="spellStart"/>
      <w:r>
        <w:t>Mediatek</w:t>
      </w:r>
      <w:proofErr w:type="spellEnd"/>
      <w:r>
        <w:t xml:space="preserve"> Inc., 3GPP TSG-RAN WG2</w:t>
      </w:r>
      <w:r w:rsidR="00971267">
        <w:t xml:space="preserve"> </w:t>
      </w:r>
      <w:r>
        <w:t>Meeting #113 - January 25th - February 5th, 2021</w:t>
      </w:r>
      <w:r>
        <w:br/>
      </w:r>
      <w:hyperlink r:id="rId11">
        <w:r>
          <w:rPr>
            <w:color w:val="1155CC"/>
            <w:u w:val="single"/>
          </w:rPr>
          <w:t>https://www.3gpp.org</w:t>
        </w:r>
        <w:r>
          <w:rPr>
            <w:color w:val="1155CC"/>
            <w:u w:val="single"/>
          </w:rPr>
          <w:t>/ftp/TSG_RAN/WG2_RL2/TSGR2_113-e/Docs/R2-2102419.zip</w:t>
        </w:r>
      </w:hyperlink>
    </w:p>
    <w:p w14:paraId="6436EE1F" w14:textId="63560427" w:rsidR="00AB28B0" w:rsidRDefault="0072688B" w:rsidP="00971267">
      <w:pPr>
        <w:numPr>
          <w:ilvl w:val="0"/>
          <w:numId w:val="1"/>
        </w:numPr>
        <w:pBdr>
          <w:top w:val="nil"/>
          <w:left w:val="nil"/>
          <w:bottom w:val="nil"/>
          <w:right w:val="nil"/>
          <w:between w:val="nil"/>
        </w:pBdr>
        <w:spacing w:after="60"/>
        <w:ind w:left="230" w:right="-1"/>
        <w:jc w:val="left"/>
      </w:pPr>
      <w:r>
        <w:t>RP-193235, “Study on NB-Io/</w:t>
      </w:r>
      <w:proofErr w:type="spellStart"/>
      <w:r>
        <w:t>eMTC</w:t>
      </w:r>
      <w:proofErr w:type="spellEnd"/>
      <w:r>
        <w:t xml:space="preserve"> support for Non-Terrestrial Network”, MediaTek Inc, 3GPP</w:t>
      </w:r>
      <w:r w:rsidR="00971267">
        <w:br/>
      </w:r>
      <w:r>
        <w:t xml:space="preserve">TSG RAN Meeting #86 </w:t>
      </w:r>
      <w:r>
        <w:tab/>
      </w:r>
      <w:proofErr w:type="spellStart"/>
      <w:r>
        <w:t>Sitges</w:t>
      </w:r>
      <w:proofErr w:type="spellEnd"/>
      <w:r>
        <w:t>, Spain, December 9-31, 2019</w:t>
      </w:r>
      <w:r>
        <w:br/>
      </w:r>
      <w:hyperlink r:id="rId12">
        <w:r>
          <w:rPr>
            <w:color w:val="1155CC"/>
            <w:u w:val="single"/>
          </w:rPr>
          <w:t>https://www.3gpp.org/ftp/TSG_RAN/TSG_RAN/TSGR_86/Docs/RP-193235.zip</w:t>
        </w:r>
      </w:hyperlink>
    </w:p>
    <w:p w14:paraId="2A5A1A44" w14:textId="75EA48B2" w:rsidR="00AB28B0" w:rsidRDefault="0072688B" w:rsidP="00971267">
      <w:pPr>
        <w:numPr>
          <w:ilvl w:val="0"/>
          <w:numId w:val="1"/>
        </w:numPr>
        <w:pBdr>
          <w:top w:val="nil"/>
          <w:left w:val="nil"/>
          <w:bottom w:val="nil"/>
          <w:right w:val="nil"/>
          <w:between w:val="nil"/>
        </w:pBdr>
        <w:spacing w:after="60"/>
        <w:ind w:left="230" w:right="-1"/>
        <w:jc w:val="left"/>
      </w:pPr>
      <w:r>
        <w:t xml:space="preserve">R2-2101248, “Discussion on the service link discontinuity and affected procedures for NB-IoT NTN”, </w:t>
      </w:r>
      <w:r w:rsidR="00971267">
        <w:br/>
      </w:r>
      <w:r>
        <w:t xml:space="preserve">Gatehouse, </w:t>
      </w:r>
      <w:proofErr w:type="spellStart"/>
      <w:r>
        <w:t>Sateliot</w:t>
      </w:r>
      <w:proofErr w:type="spellEnd"/>
      <w:r>
        <w:t>, Thales, 3GPP TSG RAN WG2 #113 - January</w:t>
      </w:r>
      <w:r>
        <w:t xml:space="preserve"> 26th - February 5th, 2021</w:t>
      </w:r>
      <w:r>
        <w:br/>
      </w:r>
      <w:hyperlink r:id="rId13">
        <w:r>
          <w:rPr>
            <w:color w:val="1155CC"/>
            <w:u w:val="single"/>
          </w:rPr>
          <w:t>https://www.3gpp.org/ftp/TSG_RAN/WG2_RL2/TSGR2_113-e/Docs/R2-2101248.zip</w:t>
        </w:r>
      </w:hyperlink>
    </w:p>
    <w:p w14:paraId="5DAE77F8" w14:textId="37F3D085" w:rsidR="00AB28B0" w:rsidRDefault="0072688B" w:rsidP="00971267">
      <w:pPr>
        <w:numPr>
          <w:ilvl w:val="0"/>
          <w:numId w:val="1"/>
        </w:numPr>
        <w:pBdr>
          <w:top w:val="nil"/>
          <w:left w:val="nil"/>
          <w:bottom w:val="nil"/>
          <w:right w:val="nil"/>
          <w:between w:val="nil"/>
        </w:pBdr>
        <w:spacing w:after="60"/>
        <w:ind w:left="230" w:right="-1"/>
        <w:jc w:val="left"/>
      </w:pPr>
      <w:r>
        <w:t xml:space="preserve">R1-2009098, “Discussion on scenarios applicable to NB-IoT NTN”, </w:t>
      </w:r>
      <w:r>
        <w:t xml:space="preserve">Gatehouse, </w:t>
      </w:r>
      <w:proofErr w:type="spellStart"/>
      <w:r>
        <w:t>Sateliot</w:t>
      </w:r>
      <w:proofErr w:type="spellEnd"/>
      <w:r>
        <w:t xml:space="preserve">. 3GPP TSG RAN </w:t>
      </w:r>
      <w:r w:rsidR="00971267">
        <w:br/>
      </w:r>
      <w:r>
        <w:t>WG1 #103 - October 26th - November 13th, 2020</w:t>
      </w:r>
      <w:r>
        <w:br/>
      </w:r>
      <w:hyperlink r:id="rId14">
        <w:r>
          <w:rPr>
            <w:color w:val="1155CC"/>
            <w:u w:val="single"/>
          </w:rPr>
          <w:t>https://www.3gpp.org/ftp/TSG_RAN/WG1_RL1/TSGR1_103-e/Docs/R1-2009098.zip</w:t>
        </w:r>
      </w:hyperlink>
    </w:p>
    <w:p w14:paraId="093D5A0F" w14:textId="5E38F912" w:rsidR="00AB28B0" w:rsidRDefault="0072688B" w:rsidP="00971267">
      <w:pPr>
        <w:numPr>
          <w:ilvl w:val="0"/>
          <w:numId w:val="1"/>
        </w:numPr>
        <w:pBdr>
          <w:top w:val="nil"/>
          <w:left w:val="nil"/>
          <w:bottom w:val="nil"/>
          <w:right w:val="nil"/>
          <w:between w:val="nil"/>
        </w:pBdr>
        <w:spacing w:after="60"/>
        <w:ind w:left="230" w:right="-1"/>
        <w:jc w:val="left"/>
      </w:pPr>
      <w:r>
        <w:t xml:space="preserve">R1-2100521, “Discussion on NB-IoT NTN scenarios with small satellites / CubeSats”, </w:t>
      </w:r>
      <w:proofErr w:type="spellStart"/>
      <w:r>
        <w:t>Sateliot</w:t>
      </w:r>
      <w:proofErr w:type="spellEnd"/>
      <w:r>
        <w:t xml:space="preserve">, </w:t>
      </w:r>
      <w:proofErr w:type="spellStart"/>
      <w:r>
        <w:t>atehouse</w:t>
      </w:r>
      <w:proofErr w:type="spellEnd"/>
      <w:r>
        <w:t xml:space="preserve">, </w:t>
      </w:r>
      <w:r w:rsidR="00971267">
        <w:br/>
      </w:r>
      <w:r>
        <w:t>Thales, Kepler, 3GPP TSG RAN WG1 #104-e, January 25th – February 5th, 2021</w:t>
      </w:r>
      <w:r>
        <w:br/>
      </w:r>
      <w:hyperlink r:id="rId15">
        <w:r w:rsidRPr="00971267">
          <w:rPr>
            <w:color w:val="1155CC"/>
            <w:u w:val="single"/>
          </w:rPr>
          <w:t>https://www.3gpp.org/ftp/TSG_RAN/WG1_RL1/TSGR1_104-e/Docs/R1-2100521.zip</w:t>
        </w:r>
      </w:hyperlink>
    </w:p>
    <w:p w14:paraId="11B4B9AF" w14:textId="77777777" w:rsidR="00AB28B0" w:rsidRDefault="0072688B" w:rsidP="00971267">
      <w:pPr>
        <w:numPr>
          <w:ilvl w:val="0"/>
          <w:numId w:val="1"/>
        </w:numPr>
        <w:pBdr>
          <w:top w:val="nil"/>
          <w:left w:val="nil"/>
          <w:bottom w:val="nil"/>
          <w:right w:val="nil"/>
          <w:between w:val="nil"/>
        </w:pBdr>
        <w:spacing w:after="60"/>
        <w:ind w:left="230" w:right="-1"/>
      </w:pPr>
      <w:r>
        <w:t>3GPP, TR 45.820 “Cellular system support for ultra-low complexity and low throughput Internet of Things (</w:t>
      </w:r>
      <w:proofErr w:type="spellStart"/>
      <w:r>
        <w:t>CIoT</w:t>
      </w:r>
      <w:proofErr w:type="spellEnd"/>
      <w:r>
        <w:t>)”</w:t>
      </w:r>
    </w:p>
    <w:p w14:paraId="5D4425F2" w14:textId="77777777" w:rsidR="00AB28B0" w:rsidRDefault="0072688B" w:rsidP="00971267">
      <w:pPr>
        <w:numPr>
          <w:ilvl w:val="0"/>
          <w:numId w:val="1"/>
        </w:numPr>
        <w:pBdr>
          <w:top w:val="nil"/>
          <w:left w:val="nil"/>
          <w:bottom w:val="nil"/>
          <w:right w:val="nil"/>
          <w:between w:val="nil"/>
        </w:pBdr>
        <w:spacing w:after="60"/>
        <w:ind w:left="230" w:right="-1"/>
      </w:pPr>
      <w:r>
        <w:rPr>
          <w:highlight w:val="white"/>
        </w:rPr>
        <w:t xml:space="preserve">Aida, </w:t>
      </w:r>
      <w:proofErr w:type="gramStart"/>
      <w:r>
        <w:rPr>
          <w:highlight w:val="white"/>
        </w:rPr>
        <w:t>S.</w:t>
      </w:r>
      <w:proofErr w:type="gramEnd"/>
      <w:r>
        <w:rPr>
          <w:highlight w:val="white"/>
        </w:rPr>
        <w:t xml:space="preserve"> and M. Kirschner. “Accuracy Assessment of SGP4 </w:t>
      </w:r>
      <w:r>
        <w:rPr>
          <w:highlight w:val="white"/>
        </w:rPr>
        <w:t>Orbit Information Conversion into Osculating Elements.” (2013</w:t>
      </w:r>
      <w:r>
        <w:rPr>
          <w:color w:val="2E414F"/>
          <w:highlight w:val="white"/>
        </w:rPr>
        <w:t>)</w:t>
      </w:r>
    </w:p>
    <w:sectPr w:rsidR="00AB28B0">
      <w:pgSz w:w="11906" w:h="16838"/>
      <w:pgMar w:top="1418" w:right="1134" w:bottom="1134" w:left="1134"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font>
  <w:font w:name="Tahoma">
    <w:panose1 w:val="020B060403050404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A270FE0"/>
    <w:multiLevelType w:val="multilevel"/>
    <w:tmpl w:val="874A8CBC"/>
    <w:lvl w:ilvl="0">
      <w:start w:val="1"/>
      <w:numFmt w:val="decimal"/>
      <w:lvlText w:val="[%1]"/>
      <w:lvlJc w:val="left"/>
      <w:pPr>
        <w:ind w:left="6031"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28B0"/>
    <w:rsid w:val="0025618A"/>
    <w:rsid w:val="0072688B"/>
    <w:rsid w:val="00971267"/>
    <w:rsid w:val="00AB28B0"/>
    <w:rsid w:val="00B903EB"/>
    <w:rsid w:val="00EA58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918C8"/>
  <w15:docId w15:val="{D2D5018C-83AD-46A4-AFBD-B9A2F2B08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GB" w:bidi="ar-SA"/>
      </w:rPr>
    </w:rPrDefault>
    <w:pPrDefault>
      <w:pPr>
        <w:tabs>
          <w:tab w:val="left" w:pos="0"/>
        </w:tabs>
        <w:spacing w:before="60" w:after="18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360" w:after="240"/>
      <w:ind w:left="425" w:hanging="425"/>
      <w:outlineLvl w:val="0"/>
    </w:pPr>
    <w:rPr>
      <w:rFonts w:ascii="Arial" w:eastAsia="Arial" w:hAnsi="Arial" w:cs="Arial"/>
      <w:b/>
      <w:sz w:val="28"/>
      <w:szCs w:val="28"/>
    </w:rPr>
  </w:style>
  <w:style w:type="paragraph" w:styleId="Heading2">
    <w:name w:val="heading 2"/>
    <w:basedOn w:val="Normal"/>
    <w:next w:val="Normal"/>
    <w:uiPriority w:val="9"/>
    <w:unhideWhenUsed/>
    <w:qFormat/>
    <w:pPr>
      <w:keepNext/>
      <w:jc w:val="left"/>
      <w:outlineLvl w:val="1"/>
    </w:pPr>
    <w:rPr>
      <w:rFonts w:ascii="Arial" w:eastAsia="Arial" w:hAnsi="Arial" w:cs="Arial"/>
      <w:b/>
      <w:sz w:val="24"/>
      <w:szCs w:val="24"/>
    </w:rPr>
  </w:style>
  <w:style w:type="paragraph" w:styleId="Heading3">
    <w:name w:val="heading 3"/>
    <w:basedOn w:val="Normal"/>
    <w:next w:val="Normal"/>
    <w:uiPriority w:val="9"/>
    <w:unhideWhenUsed/>
    <w:qFormat/>
    <w:pPr>
      <w:keepNext/>
      <w:outlineLvl w:val="2"/>
    </w:pPr>
    <w:rPr>
      <w:rFonts w:ascii="Arial" w:eastAsia="Arial" w:hAnsi="Arial" w:cs="Arial"/>
      <w:b/>
    </w:rPr>
  </w:style>
  <w:style w:type="paragraph" w:styleId="Heading4">
    <w:name w:val="heading 4"/>
    <w:basedOn w:val="Normal"/>
    <w:next w:val="Normal"/>
    <w:uiPriority w:val="9"/>
    <w:semiHidden/>
    <w:unhideWhenUsed/>
    <w:qFormat/>
    <w:pPr>
      <w:keepNext/>
      <w:ind w:left="400" w:hanging="200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TextocomentarioCar">
    <w:name w:val="Texto comentario Car"/>
    <w:basedOn w:val="DefaultParagraphFont"/>
    <w:uiPriority w:val="99"/>
    <w:semiHidden/>
    <w:rPr>
      <w:sz w:val="20"/>
      <w:szCs w:val="20"/>
    </w:rPr>
  </w:style>
  <w:style w:type="character" w:styleId="CommentReference">
    <w:name w:val="annotation reference"/>
    <w:uiPriority w:val="99"/>
    <w:semiHidden/>
    <w:unhideWhenUsed/>
    <w:rPr>
      <w:sz w:val="16"/>
      <w:szCs w:val="16"/>
    </w:rPr>
  </w:style>
  <w:style w:type="paragraph" w:styleId="BalloonText">
    <w:name w:val="Balloon Text"/>
    <w:basedOn w:val="Normal"/>
    <w:link w:val="BalloonTextChar"/>
    <w:uiPriority w:val="99"/>
    <w:semiHidden/>
    <w:unhideWhenUsed/>
    <w:rsid w:val="00EB7379"/>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B7379"/>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AsuntodelcomentarioCar">
    <w:name w:val="Asunto del comentario Car"/>
    <w:basedOn w:val="TextocomentarioCar"/>
    <w:uiPriority w:val="99"/>
    <w:semiHidden/>
    <w:rsid w:val="00EB7379"/>
    <w:rPr>
      <w:b/>
      <w:bCs/>
      <w:sz w:val="20"/>
      <w:szCs w:val="20"/>
    </w:rPr>
  </w:style>
  <w:style w:type="paragraph" w:styleId="ListParagraph">
    <w:name w:val="List Paragraph"/>
    <w:basedOn w:val="Normal"/>
    <w:uiPriority w:val="34"/>
    <w:qFormat/>
    <w:rsid w:val="00EC3B76"/>
    <w:pPr>
      <w:ind w:left="720"/>
      <w:contextualSpacing/>
    </w:pPr>
  </w:style>
  <w:style w:type="table" w:customStyle="1" w:styleId="a1">
    <w:basedOn w:val="TableNormal3"/>
    <w:tblPr>
      <w:tblStyleRowBandSize w:val="1"/>
      <w:tblStyleColBandSize w:val="1"/>
      <w:tblCellMar>
        <w:top w:w="100" w:type="dxa"/>
        <w:left w:w="100" w:type="dxa"/>
        <w:bottom w:w="100" w:type="dxa"/>
        <w:right w:w="100" w:type="dxa"/>
      </w:tblCellMar>
    </w:tblPr>
  </w:style>
  <w:style w:type="table" w:customStyle="1" w:styleId="a2">
    <w:basedOn w:val="TableNormal3"/>
    <w:tblPr>
      <w:tblStyleRowBandSize w:val="1"/>
      <w:tblStyleColBandSize w:val="1"/>
      <w:tblCellMar>
        <w:top w:w="100" w:type="dxa"/>
        <w:left w:w="100" w:type="dxa"/>
        <w:bottom w:w="100" w:type="dxa"/>
        <w:right w:w="100" w:type="dxa"/>
      </w:tblCellMar>
    </w:tblPr>
  </w:style>
  <w:style w:type="table" w:customStyle="1" w:styleId="a3">
    <w:basedOn w:val="TableNormal2"/>
    <w:tblPr>
      <w:tblStyleRowBandSize w:val="1"/>
      <w:tblStyleColBandSize w:val="1"/>
      <w:tblCellMar>
        <w:top w:w="100" w:type="dxa"/>
        <w:left w:w="100" w:type="dxa"/>
        <w:bottom w:w="100" w:type="dxa"/>
        <w:right w:w="100" w:type="dxa"/>
      </w:tblCellMar>
    </w:tblPr>
  </w:style>
  <w:style w:type="table" w:customStyle="1" w:styleId="a4">
    <w:basedOn w:val="TableNormal2"/>
    <w:tblPr>
      <w:tblStyleRowBandSize w:val="1"/>
      <w:tblStyleColBandSize w:val="1"/>
      <w:tblCellMar>
        <w:top w:w="100" w:type="dxa"/>
        <w:left w:w="100" w:type="dxa"/>
        <w:bottom w:w="100" w:type="dxa"/>
        <w:right w:w="100" w:type="dxa"/>
      </w:tblCellMar>
    </w:tbl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CommentTextChar">
    <w:name w:val="Comment Text Char"/>
    <w:link w:val="CommentText"/>
    <w:uiPriority w:val="99"/>
    <w:semiHidden/>
    <w:rPr>
      <w:sz w:val="20"/>
      <w:szCs w:val="20"/>
    </w:rPr>
  </w:style>
  <w:style w:type="table" w:customStyle="1" w:styleId="a5">
    <w:basedOn w:val="TableNormal1"/>
    <w:tblPr>
      <w:tblStyleRowBandSize w:val="1"/>
      <w:tblStyleColBandSize w:val="1"/>
      <w:tblCellMar>
        <w:top w:w="100" w:type="dxa"/>
        <w:left w:w="100" w:type="dxa"/>
        <w:bottom w:w="100" w:type="dxa"/>
        <w:right w:w="10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3gpp.org/ftp/TSG_RAN/WG2_RL2/TSGR2_113-e/Docs/R2-2101248.zip" TargetMode="Externa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hyperlink" Target="https://www.3gpp.org/ftp/TSG_RAN/TSG_RAN/TSGR_86/Docs/RP-193235.zip"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3gpp.org/ftp/TSG_RAN/WG2_RL2/TSGR2_113-e/Docs/R2-2102419.zip" TargetMode="External"/><Relationship Id="rId5" Type="http://schemas.openxmlformats.org/officeDocument/2006/relationships/webSettings" Target="webSettings.xml"/><Relationship Id="rId15" Type="http://schemas.openxmlformats.org/officeDocument/2006/relationships/hyperlink" Target="https://www.3gpp.org/ftp/TSG_RAN/WG1_RL1/TSGR1_104-e/Docs/R1-2100521.zip" TargetMode="Externa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www.3gpp.org/ftp/TSG_RAN/WG1_RL1/TSGR1_103-e/Docs/R1-200909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BVJngwRarogs6MJ72olldkJ5LEA==">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Pages>
  <Words>2442</Words>
  <Characters>13924</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Robert van der Pool</cp:lastModifiedBy>
  <cp:revision>5</cp:revision>
  <dcterms:created xsi:type="dcterms:W3CDTF">2021-03-22T08:35:00Z</dcterms:created>
  <dcterms:modified xsi:type="dcterms:W3CDTF">2021-04-01T19:17:00Z</dcterms:modified>
</cp:coreProperties>
</file>